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i w:val="0"/>
          <w:sz w:val="20"/>
          <w:szCs w:val="20"/>
          <w:vertAlign w:val="baseline"/>
        </w:rPr>
      </w:pPr>
      <w:r w:rsidDel="00000000" w:rsidR="00000000" w:rsidRPr="00000000">
        <w:rPr>
          <w:b w:val="1"/>
          <w:i w:val="0"/>
          <w:sz w:val="20"/>
          <w:szCs w:val="20"/>
          <w:vertAlign w:val="baseline"/>
          <w:rtl w:val="0"/>
        </w:rPr>
        <w:t xml:space="preserve">AIRCRAFT</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b w:val="0"/>
          <w:vertAlign w:val="baseline"/>
        </w:rPr>
      </w:pPr>
      <w:r w:rsidDel="00000000" w:rsidR="00000000" w:rsidRPr="00000000">
        <w:rPr>
          <w:b w:val="1"/>
          <w:vertAlign w:val="baseline"/>
          <w:rtl w:val="0"/>
        </w:rPr>
        <w:t xml:space="preserve">Guidance and Requirements for Reporting Excess Aircraft</w:t>
      </w:r>
      <w:r w:rsidDel="00000000" w:rsidR="00000000" w:rsidRPr="00000000">
        <w:rPr>
          <w:rtl w:val="0"/>
        </w:rPr>
      </w:r>
    </w:p>
    <w:p w:rsidR="00000000" w:rsidDel="00000000" w:rsidP="00000000" w:rsidRDefault="00000000" w:rsidRPr="00000000" w14:paraId="0000000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vertAlign w:val="baseline"/>
        </w:rPr>
      </w:pPr>
      <w:bookmarkStart w:colFirst="0" w:colLast="0" w:name="_gjdgxs" w:id="0"/>
      <w:bookmarkEnd w:id="0"/>
      <w:r w:rsidDel="00000000" w:rsidR="00000000" w:rsidRPr="00000000">
        <w:rPr>
          <w:rFonts w:ascii="Arial" w:cs="Arial" w:eastAsia="Arial" w:hAnsi="Arial"/>
          <w:sz w:val="20"/>
          <w:szCs w:val="20"/>
          <w:vertAlign w:val="baseline"/>
          <w:rtl w:val="0"/>
        </w:rPr>
        <w:t xml:space="preserve">All excess aircraft are reportable to GSA, Pacific Rim Region in San Francisco, CA, regardless of agency, condition, or dollar value.  Please see </w:t>
      </w:r>
      <w:hyperlink r:id="rId6">
        <w:r w:rsidDel="00000000" w:rsidR="00000000" w:rsidRPr="00000000">
          <w:rPr>
            <w:rFonts w:ascii="Arial" w:cs="Arial" w:eastAsia="Arial" w:hAnsi="Arial"/>
            <w:color w:val="0000ff"/>
            <w:sz w:val="20"/>
            <w:szCs w:val="20"/>
            <w:u w:val="single"/>
            <w:vertAlign w:val="baseline"/>
            <w:rtl w:val="0"/>
          </w:rPr>
          <w:t xml:space="preserve">Federal Management Regulations Title 41 Part 102-36.340</w:t>
        </w:r>
      </w:hyperlink>
      <w:r w:rsidDel="00000000" w:rsidR="00000000" w:rsidRPr="00000000">
        <w:rPr>
          <w:rFonts w:ascii="Arial" w:cs="Arial" w:eastAsia="Arial" w:hAnsi="Arial"/>
          <w:sz w:val="20"/>
          <w:szCs w:val="20"/>
          <w:vertAlign w:val="baseline"/>
          <w:rtl w:val="0"/>
        </w:rPr>
        <w:t xml:space="preserve"> and </w:t>
      </w:r>
      <w:hyperlink r:id="rId7">
        <w:r w:rsidDel="00000000" w:rsidR="00000000" w:rsidRPr="00000000">
          <w:rPr>
            <w:rFonts w:ascii="Arial" w:cs="Arial" w:eastAsia="Arial" w:hAnsi="Arial"/>
            <w:color w:val="1155cc"/>
            <w:sz w:val="20"/>
            <w:szCs w:val="20"/>
            <w:u w:val="single"/>
            <w:vertAlign w:val="baseline"/>
            <w:rtl w:val="0"/>
          </w:rPr>
          <w:t xml:space="preserve">Defense Materiel Disposition Manual, DoD 4160.21M</w:t>
        </w:r>
      </w:hyperlink>
      <w:r w:rsidDel="00000000" w:rsidR="00000000" w:rsidRPr="00000000">
        <w:rPr>
          <w:rFonts w:ascii="Arial" w:cs="Arial" w:eastAsia="Arial" w:hAnsi="Arial"/>
          <w:sz w:val="20"/>
          <w:szCs w:val="20"/>
          <w:vertAlign w:val="baseline"/>
          <w:rtl w:val="0"/>
        </w:rPr>
        <w:t xml:space="preserve">.  When reporting an excess aircraft to GSA, agencies should provide the following information on </w:t>
      </w:r>
      <w:hyperlink r:id="rId8">
        <w:r w:rsidDel="00000000" w:rsidR="00000000" w:rsidRPr="00000000">
          <w:rPr>
            <w:rFonts w:ascii="Arial" w:cs="Arial" w:eastAsia="Arial" w:hAnsi="Arial"/>
            <w:color w:val="0000ff"/>
            <w:sz w:val="20"/>
            <w:szCs w:val="20"/>
            <w:u w:val="single"/>
            <w:vertAlign w:val="baseline"/>
            <w:rtl w:val="0"/>
          </w:rPr>
          <w:t xml:space="preserve">Standard Form 120</w:t>
        </w:r>
      </w:hyperlink>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0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7">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Manufacturer, date of manufacture, model, serial number</w:t>
      </w:r>
    </w:p>
    <w:p w:rsidR="00000000" w:rsidDel="00000000" w:rsidP="00000000" w:rsidRDefault="00000000" w:rsidRPr="00000000" w14:paraId="0000000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Major components missing from the aircraft such as engines or electronics</w:t>
      </w:r>
    </w:p>
    <w:p w:rsidR="00000000" w:rsidDel="00000000" w:rsidP="00000000" w:rsidRDefault="00000000" w:rsidRPr="00000000" w14:paraId="0000000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B">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Whether or not the aircraft is:</w:t>
      </w:r>
    </w:p>
    <w:p w:rsidR="00000000" w:rsidDel="00000000" w:rsidP="00000000" w:rsidRDefault="00000000" w:rsidRPr="00000000" w14:paraId="0000000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D">
      <w:pPr>
        <w:numPr>
          <w:ilvl w:val="1"/>
          <w:numId w:val="1"/>
        </w:numPr>
        <w:ind w:left="1800" w:hanging="72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Operational</w:t>
      </w:r>
    </w:p>
    <w:p w:rsidR="00000000" w:rsidDel="00000000" w:rsidP="00000000" w:rsidRDefault="00000000" w:rsidRPr="00000000" w14:paraId="0000000E">
      <w:pPr>
        <w:numPr>
          <w:ilvl w:val="1"/>
          <w:numId w:val="1"/>
        </w:numPr>
        <w:ind w:left="1800" w:hanging="72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Data plate is available</w:t>
      </w:r>
    </w:p>
    <w:p w:rsidR="00000000" w:rsidDel="00000000" w:rsidP="00000000" w:rsidRDefault="00000000" w:rsidRPr="00000000" w14:paraId="0000000F">
      <w:pPr>
        <w:numPr>
          <w:ilvl w:val="1"/>
          <w:numId w:val="1"/>
        </w:numPr>
        <w:ind w:left="1800" w:hanging="72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Historical and maintenance records are available</w:t>
      </w:r>
    </w:p>
    <w:p w:rsidR="00000000" w:rsidDel="00000000" w:rsidP="00000000" w:rsidRDefault="00000000" w:rsidRPr="00000000" w14:paraId="00000010">
      <w:pPr>
        <w:numPr>
          <w:ilvl w:val="1"/>
          <w:numId w:val="1"/>
        </w:numPr>
        <w:ind w:left="1800" w:hanging="72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Aircraft has been previously certified by the Federal Aviation Administration (FAA) and/or has been maintained to FAA airworthiness standards</w:t>
      </w:r>
    </w:p>
    <w:p w:rsidR="00000000" w:rsidDel="00000000" w:rsidP="00000000" w:rsidRDefault="00000000" w:rsidRPr="00000000" w14:paraId="00000011">
      <w:pPr>
        <w:numPr>
          <w:ilvl w:val="1"/>
          <w:numId w:val="1"/>
        </w:numPr>
        <w:ind w:left="1800" w:hanging="72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Aircraft was previously used for non-flight purposes (i.e., ground training or static display), and has been subjected to extensive disassembly and re-assembly procedures for ground training, or repeated burning for firefighting training purposes</w:t>
      </w:r>
    </w:p>
    <w:p w:rsidR="00000000" w:rsidDel="00000000" w:rsidP="00000000" w:rsidRDefault="00000000" w:rsidRPr="00000000" w14:paraId="00000012">
      <w:pPr>
        <w:numPr>
          <w:ilvl w:val="1"/>
          <w:numId w:val="1"/>
        </w:numPr>
        <w:ind w:left="1800" w:hanging="72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For military aircraft, indicate Category A, B, or C as designated by DoD, as follows:</w:t>
      </w:r>
    </w:p>
    <w:p w:rsidR="00000000" w:rsidDel="00000000" w:rsidP="00000000" w:rsidRDefault="00000000" w:rsidRPr="00000000" w14:paraId="0000001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Fonts w:ascii="Arial" w:cs="Arial" w:eastAsia="Arial" w:hAnsi="Arial"/>
          <w:b w:val="1"/>
          <w:sz w:val="20"/>
          <w:szCs w:val="20"/>
          <w:u w:val="single"/>
          <w:vertAlign w:val="baseline"/>
          <w:rtl w:val="0"/>
        </w:rPr>
        <w:t xml:space="preserve">Category of Aircraft</w:t>
      </w:r>
      <w:r w:rsidDel="00000000" w:rsidR="00000000" w:rsidRPr="00000000">
        <w:rPr>
          <w:rFonts w:ascii="Arial" w:cs="Arial" w:eastAsia="Arial" w:hAnsi="Arial"/>
          <w:sz w:val="20"/>
          <w:szCs w:val="20"/>
          <w:vertAlign w:val="baseline"/>
          <w:rtl w:val="0"/>
        </w:rPr>
        <w:tab/>
        <w:tab/>
        <w:tab/>
        <w:tab/>
      </w:r>
      <w:r w:rsidDel="00000000" w:rsidR="00000000" w:rsidRPr="00000000">
        <w:rPr>
          <w:rFonts w:ascii="Arial" w:cs="Arial" w:eastAsia="Arial" w:hAnsi="Arial"/>
          <w:b w:val="1"/>
          <w:sz w:val="20"/>
          <w:szCs w:val="20"/>
          <w:u w:val="single"/>
          <w:vertAlign w:val="baseline"/>
          <w:rtl w:val="0"/>
        </w:rPr>
        <w:t xml:space="preserve">Description</w:t>
      </w:r>
      <w:r w:rsidDel="00000000" w:rsidR="00000000" w:rsidRPr="00000000">
        <w:rPr>
          <w:rtl w:val="0"/>
        </w:rPr>
      </w:r>
    </w:p>
    <w:p w:rsidR="00000000" w:rsidDel="00000000" w:rsidP="00000000" w:rsidRDefault="00000000" w:rsidRPr="00000000" w14:paraId="0000001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6">
      <w:pPr>
        <w:ind w:firstLine="72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tab/>
        <w:tab/>
        <w:tab/>
        <w:tab/>
        <w:tab/>
        <w:t xml:space="preserve">Authorized for sale and exchange for</w:t>
      </w:r>
    </w:p>
    <w:p w:rsidR="00000000" w:rsidDel="00000000" w:rsidP="00000000" w:rsidRDefault="00000000" w:rsidRPr="00000000" w14:paraId="0000001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ab/>
        <w:tab/>
        <w:tab/>
        <w:tab/>
        <w:tab/>
        <w:tab/>
        <w:t xml:space="preserve">commercial use</w:t>
      </w:r>
    </w:p>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9">
      <w:pPr>
        <w:ind w:left="2160" w:hanging="144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tab/>
        <w:tab/>
        <w:tab/>
        <w:tab/>
        <w:t xml:space="preserve">Previously used for ground instruction</w:t>
      </w:r>
    </w:p>
    <w:p w:rsidR="00000000" w:rsidDel="00000000" w:rsidP="00000000" w:rsidRDefault="00000000" w:rsidRPr="00000000" w14:paraId="0000001A">
      <w:pPr>
        <w:ind w:left="3600" w:firstLine="72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and/or static display</w:t>
      </w:r>
    </w:p>
    <w:p w:rsidR="00000000" w:rsidDel="00000000" w:rsidP="00000000" w:rsidRDefault="00000000" w:rsidRPr="00000000" w14:paraId="0000001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C">
      <w:pPr>
        <w:ind w:firstLine="72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tab/>
        <w:tab/>
        <w:tab/>
        <w:tab/>
        <w:tab/>
        <w:t xml:space="preserve">Combat configured as determined by DoD</w:t>
      </w:r>
    </w:p>
    <w:p w:rsidR="00000000" w:rsidDel="00000000" w:rsidP="00000000" w:rsidRDefault="00000000" w:rsidRPr="00000000" w14:paraId="0000001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F">
      <w:pPr>
        <w:rPr>
          <w:rFonts w:ascii="Arial" w:cs="Arial" w:eastAsia="Arial" w:hAnsi="Arial"/>
          <w:sz w:val="20"/>
          <w:szCs w:val="20"/>
          <w:vertAlign w:val="baseline"/>
        </w:rPr>
      </w:pPr>
      <w:bookmarkStart w:colFirst="0" w:colLast="0" w:name="_30j0zll" w:id="1"/>
      <w:bookmarkEnd w:id="1"/>
      <w:r w:rsidDel="00000000" w:rsidR="00000000" w:rsidRPr="00000000">
        <w:rPr>
          <w:rFonts w:ascii="Arial" w:cs="Arial" w:eastAsia="Arial" w:hAnsi="Arial"/>
          <w:sz w:val="20"/>
          <w:szCs w:val="20"/>
          <w:vertAlign w:val="baseline"/>
          <w:rtl w:val="0"/>
        </w:rPr>
        <w:t xml:space="preserve">For additional information on military aircraft, see Defense Materiel Disposition Manual, DoD 4160.21-M.  The general policy for military aircraft is that the </w:t>
      </w:r>
      <w:r w:rsidDel="00000000" w:rsidR="00000000" w:rsidRPr="00000000">
        <w:rPr>
          <w:rFonts w:ascii="Arial" w:cs="Arial" w:eastAsia="Arial" w:hAnsi="Arial"/>
          <w:sz w:val="20"/>
          <w:szCs w:val="20"/>
          <w:rtl w:val="0"/>
        </w:rPr>
        <w:t xml:space="preserve">Defense Logistics Agency Disposition Services</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vertAlign w:val="baseline"/>
          <w:rtl w:val="0"/>
        </w:rPr>
        <w:t xml:space="preserve">shall not screen or report aircraft.  The owning Military Service shall screen aircraft with other Military Services and DoD activities, and then report them to the GSA Pacific Rim Region in San Francisco for civil agency and donation screening.</w:t>
      </w:r>
    </w:p>
    <w:p w:rsidR="00000000" w:rsidDel="00000000" w:rsidP="00000000" w:rsidRDefault="00000000" w:rsidRPr="00000000" w14:paraId="0000002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When the designated transfer or donation recipient’s intended use is for nonflight purposes, the agency must remove and return the data plate to the GSA Property Management Branch, Pacific Rim Region, San Francisco, CA, prior to releasing the aircraft to the authorized recipient.  GSA will forward the data plate to FAA.</w:t>
      </w:r>
    </w:p>
    <w:p w:rsidR="00000000" w:rsidDel="00000000" w:rsidP="00000000" w:rsidRDefault="00000000" w:rsidRPr="00000000" w14:paraId="0000002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color w:val="333333"/>
          <w:sz w:val="20"/>
          <w:szCs w:val="20"/>
        </w:rPr>
      </w:pPr>
      <w:r w:rsidDel="00000000" w:rsidR="00000000" w:rsidRPr="00000000">
        <w:rPr>
          <w:rFonts w:ascii="Arial" w:cs="Arial" w:eastAsia="Arial" w:hAnsi="Arial"/>
          <w:color w:val="333333"/>
          <w:sz w:val="20"/>
          <w:szCs w:val="20"/>
          <w:rtl w:val="0"/>
        </w:rPr>
        <w:t xml:space="preserve">Sandra Klar</w:t>
      </w:r>
    </w:p>
    <w:p w:rsidR="00000000" w:rsidDel="00000000" w:rsidP="00000000" w:rsidRDefault="00000000" w:rsidRPr="00000000" w14:paraId="00000024">
      <w:pPr>
        <w:rPr>
          <w:rFonts w:ascii="Arial" w:cs="Arial" w:eastAsia="Arial" w:hAnsi="Arial"/>
          <w:color w:val="333333"/>
          <w:sz w:val="20"/>
          <w:szCs w:val="20"/>
        </w:rPr>
      </w:pPr>
      <w:r w:rsidDel="00000000" w:rsidR="00000000" w:rsidRPr="00000000">
        <w:rPr>
          <w:rFonts w:ascii="Arial" w:cs="Arial" w:eastAsia="Arial" w:hAnsi="Arial"/>
          <w:color w:val="333333"/>
          <w:sz w:val="20"/>
          <w:szCs w:val="20"/>
          <w:rtl w:val="0"/>
        </w:rPr>
        <w:t xml:space="preserve">GSA, FAS, Pacific Rim Zone, Personal Property Management</w:t>
      </w:r>
    </w:p>
    <w:p w:rsidR="00000000" w:rsidDel="00000000" w:rsidP="00000000" w:rsidRDefault="00000000" w:rsidRPr="00000000" w14:paraId="00000025">
      <w:pPr>
        <w:rPr>
          <w:rFonts w:ascii="Arial" w:cs="Arial" w:eastAsia="Arial" w:hAnsi="Arial"/>
          <w:color w:val="333333"/>
          <w:sz w:val="20"/>
          <w:szCs w:val="20"/>
        </w:rPr>
      </w:pPr>
      <w:r w:rsidDel="00000000" w:rsidR="00000000" w:rsidRPr="00000000">
        <w:rPr>
          <w:rFonts w:ascii="Arial" w:cs="Arial" w:eastAsia="Arial" w:hAnsi="Arial"/>
          <w:color w:val="333333"/>
          <w:sz w:val="20"/>
          <w:szCs w:val="20"/>
          <w:rtl w:val="0"/>
        </w:rPr>
        <w:t xml:space="preserve">50 UN Plaza</w:t>
      </w:r>
    </w:p>
    <w:p w:rsidR="00000000" w:rsidDel="00000000" w:rsidP="00000000" w:rsidRDefault="00000000" w:rsidRPr="00000000" w14:paraId="00000026">
      <w:pPr>
        <w:rPr>
          <w:rFonts w:ascii="Arial" w:cs="Arial" w:eastAsia="Arial" w:hAnsi="Arial"/>
          <w:color w:val="333333"/>
          <w:sz w:val="20"/>
          <w:szCs w:val="20"/>
        </w:rPr>
      </w:pPr>
      <w:r w:rsidDel="00000000" w:rsidR="00000000" w:rsidRPr="00000000">
        <w:rPr>
          <w:rFonts w:ascii="Arial" w:cs="Arial" w:eastAsia="Arial" w:hAnsi="Arial"/>
          <w:color w:val="333333"/>
          <w:sz w:val="20"/>
          <w:szCs w:val="20"/>
          <w:rtl w:val="0"/>
        </w:rPr>
        <w:t xml:space="preserve">San Francisco, CA 94102-4912</w:t>
      </w:r>
    </w:p>
    <w:p w:rsidR="00000000" w:rsidDel="00000000" w:rsidP="00000000" w:rsidRDefault="00000000" w:rsidRPr="00000000" w14:paraId="00000027">
      <w:pPr>
        <w:rPr>
          <w:rFonts w:ascii="Arial" w:cs="Arial" w:eastAsia="Arial" w:hAnsi="Arial"/>
          <w:color w:val="333333"/>
          <w:sz w:val="20"/>
          <w:szCs w:val="20"/>
        </w:rPr>
      </w:pPr>
      <w:r w:rsidDel="00000000" w:rsidR="00000000" w:rsidRPr="00000000">
        <w:rPr>
          <w:rFonts w:ascii="Arial" w:cs="Arial" w:eastAsia="Arial" w:hAnsi="Arial"/>
          <w:color w:val="333333"/>
          <w:sz w:val="20"/>
          <w:szCs w:val="20"/>
          <w:rtl w:val="0"/>
        </w:rPr>
        <w:t xml:space="preserve">415-522-3041</w:t>
      </w:r>
    </w:p>
    <w:p w:rsidR="00000000" w:rsidDel="00000000" w:rsidP="00000000" w:rsidRDefault="00000000" w:rsidRPr="00000000" w14:paraId="00000028">
      <w:pPr>
        <w:rPr>
          <w:rFonts w:ascii="Arial" w:cs="Arial" w:eastAsia="Arial" w:hAnsi="Arial"/>
          <w:color w:val="333333"/>
          <w:sz w:val="20"/>
          <w:szCs w:val="20"/>
        </w:rPr>
      </w:pPr>
      <w:r w:rsidDel="00000000" w:rsidR="00000000" w:rsidRPr="00000000">
        <w:rPr>
          <w:rFonts w:ascii="Arial" w:cs="Arial" w:eastAsia="Arial" w:hAnsi="Arial"/>
          <w:color w:val="333333"/>
          <w:sz w:val="20"/>
          <w:szCs w:val="20"/>
          <w:rtl w:val="0"/>
        </w:rPr>
        <w:t xml:space="preserve">C 415-744-4481</w:t>
      </w:r>
    </w:p>
    <w:p w:rsidR="00000000" w:rsidDel="00000000" w:rsidP="00000000" w:rsidRDefault="00000000" w:rsidRPr="00000000" w14:paraId="00000029">
      <w:pPr>
        <w:rPr>
          <w:rFonts w:ascii="Arial" w:cs="Arial" w:eastAsia="Arial" w:hAnsi="Arial"/>
          <w:color w:val="333333"/>
          <w:sz w:val="20"/>
          <w:szCs w:val="20"/>
        </w:rPr>
      </w:pPr>
      <w:r w:rsidDel="00000000" w:rsidR="00000000" w:rsidRPr="00000000">
        <w:rPr>
          <w:rFonts w:ascii="Arial" w:cs="Arial" w:eastAsia="Arial" w:hAnsi="Arial"/>
          <w:color w:val="333333"/>
          <w:sz w:val="20"/>
          <w:szCs w:val="20"/>
          <w:rtl w:val="0"/>
        </w:rPr>
        <w:t xml:space="preserve">Sandra.klar@gsa.gov</w:t>
      </w:r>
    </w:p>
    <w:p w:rsidR="00000000" w:rsidDel="00000000" w:rsidP="00000000" w:rsidRDefault="00000000" w:rsidRPr="00000000" w14:paraId="0000002A">
      <w:pPr>
        <w:rPr>
          <w:rFonts w:ascii="Arial" w:cs="Arial" w:eastAsia="Arial" w:hAnsi="Arial"/>
          <w:color w:val="333333"/>
          <w:sz w:val="20"/>
          <w:szCs w:val="20"/>
        </w:rPr>
      </w:pPr>
      <w:r w:rsidDel="00000000" w:rsidR="00000000" w:rsidRPr="00000000">
        <w:rPr>
          <w:rtl w:val="0"/>
        </w:rPr>
      </w:r>
    </w:p>
    <w:p w:rsidR="00000000" w:rsidDel="00000000" w:rsidP="00000000" w:rsidRDefault="00000000" w:rsidRPr="00000000" w14:paraId="0000002B">
      <w:pPr>
        <w:rPr>
          <w:rFonts w:ascii="Arial" w:cs="Arial" w:eastAsia="Arial" w:hAnsi="Arial"/>
          <w:color w:val="333333"/>
          <w:sz w:val="20"/>
          <w:szCs w:val="20"/>
        </w:rPr>
      </w:pPr>
      <w:r w:rsidDel="00000000" w:rsidR="00000000" w:rsidRPr="00000000">
        <w:rPr>
          <w:rtl w:val="0"/>
        </w:rPr>
      </w:r>
    </w:p>
    <w:sectPr>
      <w:footerReference r:id="rId9"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Roman"/>
      <w:lvlText w:val="(%2)"/>
      <w:lvlJc w:val="left"/>
      <w:pPr>
        <w:ind w:left="1800" w:hanging="72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govinfo.gov/app/details/CFR-2011-title41-vol3/CFR-2011-title41-vol3-sec102-36-340" TargetMode="External"/><Relationship Id="rId7" Type="http://schemas.openxmlformats.org/officeDocument/2006/relationships/hyperlink" Target="https://www.esd.whs.mil/Portals/54/Documents/DD/issuances/dodm/416021_vol1.pdf?ver=2018-12-03-084359-730" TargetMode="External"/><Relationship Id="rId8" Type="http://schemas.openxmlformats.org/officeDocument/2006/relationships/hyperlink" Target="https://www.gsa.gov/forms-library/report-excess-personal-prop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