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B9F52" w14:textId="4D2831C5" w:rsidR="00FC1BD7" w:rsidRPr="003428FF" w:rsidRDefault="003428FF" w:rsidP="003428FF">
      <w:pPr>
        <w:jc w:val="center"/>
        <w:rPr>
          <w:rFonts w:ascii="Garamond" w:hAnsi="Garamond"/>
          <w:sz w:val="28"/>
          <w:szCs w:val="28"/>
        </w:rPr>
      </w:pPr>
      <w:r w:rsidRPr="003428FF">
        <w:rPr>
          <w:rFonts w:ascii="Garamond" w:hAnsi="Garamond"/>
          <w:sz w:val="28"/>
          <w:szCs w:val="28"/>
        </w:rPr>
        <w:t>GSA Green Building Advisory Committee</w:t>
      </w:r>
    </w:p>
    <w:p w14:paraId="080BE7C1" w14:textId="77777777" w:rsidR="003428FF" w:rsidRDefault="003428FF">
      <w:pPr>
        <w:rPr>
          <w:rFonts w:ascii="Garamond" w:hAnsi="Garamond"/>
          <w:sz w:val="28"/>
          <w:szCs w:val="28"/>
        </w:rPr>
      </w:pPr>
    </w:p>
    <w:p w14:paraId="4BC69E38" w14:textId="77777777" w:rsidR="003428FF" w:rsidRDefault="003428FF">
      <w:pPr>
        <w:rPr>
          <w:rFonts w:ascii="Garamond" w:hAnsi="Garamond"/>
        </w:rPr>
      </w:pPr>
    </w:p>
    <w:p w14:paraId="1DB0B2A5" w14:textId="3078F113" w:rsidR="003428FF" w:rsidRDefault="00B51459">
      <w:pPr>
        <w:rPr>
          <w:rFonts w:ascii="Garamond" w:hAnsi="Garamond"/>
        </w:rPr>
      </w:pPr>
      <w:r>
        <w:rPr>
          <w:rFonts w:ascii="Garamond" w:hAnsi="Garamond"/>
        </w:rPr>
        <w:t>Octo</w:t>
      </w:r>
      <w:r w:rsidR="003428FF">
        <w:rPr>
          <w:rFonts w:ascii="Garamond" w:hAnsi="Garamond"/>
        </w:rPr>
        <w:t xml:space="preserve">ber </w:t>
      </w:r>
      <w:r w:rsidR="00D93B86">
        <w:rPr>
          <w:rFonts w:ascii="Garamond" w:hAnsi="Garamond"/>
        </w:rPr>
        <w:t>24, 2017</w:t>
      </w:r>
    </w:p>
    <w:p w14:paraId="1EC237CA" w14:textId="77777777" w:rsidR="003428FF" w:rsidRDefault="003428FF">
      <w:pPr>
        <w:rPr>
          <w:rFonts w:ascii="Garamond" w:hAnsi="Garamond"/>
        </w:rPr>
      </w:pPr>
    </w:p>
    <w:p w14:paraId="1BE2FDAD" w14:textId="77777777" w:rsidR="003428FF" w:rsidRDefault="003428FF">
      <w:pPr>
        <w:rPr>
          <w:rFonts w:ascii="Garamond" w:hAnsi="Garamond"/>
        </w:rPr>
      </w:pPr>
      <w:r>
        <w:rPr>
          <w:rFonts w:ascii="Garamond" w:hAnsi="Garamond"/>
        </w:rPr>
        <w:t>Kevin Kampschroer</w:t>
      </w:r>
    </w:p>
    <w:p w14:paraId="6E2A9FA6" w14:textId="295B4F91" w:rsidR="003428FF" w:rsidRDefault="003428FF">
      <w:pPr>
        <w:rPr>
          <w:rFonts w:ascii="Garamond" w:hAnsi="Garamond"/>
        </w:rPr>
      </w:pPr>
      <w:r>
        <w:rPr>
          <w:rFonts w:ascii="Garamond" w:hAnsi="Garamond"/>
        </w:rPr>
        <w:t>Director, Office of Federal High-Performance Buildings</w:t>
      </w:r>
    </w:p>
    <w:p w14:paraId="743BA048" w14:textId="77777777" w:rsidR="003428FF" w:rsidRDefault="003428FF">
      <w:pPr>
        <w:rPr>
          <w:rFonts w:ascii="Garamond" w:hAnsi="Garamond"/>
        </w:rPr>
      </w:pPr>
      <w:r>
        <w:rPr>
          <w:rFonts w:ascii="Garamond" w:hAnsi="Garamond"/>
        </w:rPr>
        <w:t>U.S. General Services Administration (GSA)</w:t>
      </w:r>
    </w:p>
    <w:p w14:paraId="2E80E976" w14:textId="77777777" w:rsidR="003428FF" w:rsidRDefault="003428FF">
      <w:pPr>
        <w:rPr>
          <w:rFonts w:ascii="Garamond" w:hAnsi="Garamond"/>
        </w:rPr>
      </w:pPr>
    </w:p>
    <w:p w14:paraId="22891EB9" w14:textId="4E4166E1" w:rsidR="003428FF" w:rsidRDefault="003428FF">
      <w:pPr>
        <w:rPr>
          <w:rFonts w:ascii="Garamond" w:hAnsi="Garamond"/>
          <w:color w:val="FF0000"/>
        </w:rPr>
      </w:pPr>
      <w:r>
        <w:rPr>
          <w:rFonts w:ascii="Garamond" w:hAnsi="Garamond"/>
        </w:rPr>
        <w:t>RE: Recommendations for</w:t>
      </w:r>
      <w:r w:rsidRPr="00407ED6">
        <w:rPr>
          <w:rFonts w:ascii="Garamond" w:hAnsi="Garamond"/>
          <w:color w:val="000000" w:themeColor="text1"/>
        </w:rPr>
        <w:t xml:space="preserve"> </w:t>
      </w:r>
      <w:r w:rsidR="00407ED6" w:rsidRPr="00407ED6">
        <w:rPr>
          <w:rFonts w:ascii="Garamond" w:hAnsi="Garamond"/>
          <w:color w:val="000000" w:themeColor="text1"/>
        </w:rPr>
        <w:t>a</w:t>
      </w:r>
      <w:r w:rsidR="005843FD" w:rsidRPr="00407ED6">
        <w:rPr>
          <w:rFonts w:ascii="Garamond" w:hAnsi="Garamond"/>
          <w:color w:val="000000" w:themeColor="text1"/>
        </w:rPr>
        <w:t xml:space="preserve">doption of health and wellness </w:t>
      </w:r>
      <w:r w:rsidR="00407ED6" w:rsidRPr="00407ED6">
        <w:rPr>
          <w:rFonts w:ascii="Garamond" w:hAnsi="Garamond"/>
          <w:color w:val="000000" w:themeColor="text1"/>
        </w:rPr>
        <w:t>policies</w:t>
      </w:r>
      <w:r w:rsidR="005843FD" w:rsidRPr="00407ED6">
        <w:rPr>
          <w:rFonts w:ascii="Garamond" w:hAnsi="Garamond"/>
          <w:color w:val="000000" w:themeColor="text1"/>
        </w:rPr>
        <w:t xml:space="preserve"> for Federal facilities</w:t>
      </w:r>
    </w:p>
    <w:p w14:paraId="016C644C" w14:textId="77777777" w:rsidR="003428FF" w:rsidRDefault="003428FF">
      <w:pPr>
        <w:rPr>
          <w:rFonts w:ascii="Garamond" w:hAnsi="Garamond"/>
          <w:color w:val="FF0000"/>
        </w:rPr>
      </w:pPr>
    </w:p>
    <w:p w14:paraId="365056DB" w14:textId="6842DAB3" w:rsidR="003428FF" w:rsidRDefault="003428FF">
      <w:pPr>
        <w:rPr>
          <w:rFonts w:ascii="Garamond" w:hAnsi="Garamond"/>
          <w:color w:val="000000" w:themeColor="text1"/>
        </w:rPr>
      </w:pPr>
      <w:r>
        <w:rPr>
          <w:rFonts w:ascii="Garamond" w:hAnsi="Garamond"/>
          <w:color w:val="000000" w:themeColor="text1"/>
        </w:rPr>
        <w:t>Dear Mr. Kampschroer</w:t>
      </w:r>
      <w:r w:rsidR="00D93B86">
        <w:rPr>
          <w:rFonts w:ascii="Garamond" w:hAnsi="Garamond"/>
          <w:color w:val="000000" w:themeColor="text1"/>
        </w:rPr>
        <w:t>,</w:t>
      </w:r>
    </w:p>
    <w:p w14:paraId="4320DF95" w14:textId="77777777" w:rsidR="003428FF" w:rsidRDefault="003428FF">
      <w:pPr>
        <w:rPr>
          <w:rFonts w:ascii="Garamond" w:hAnsi="Garamond"/>
          <w:color w:val="000000" w:themeColor="text1"/>
        </w:rPr>
      </w:pPr>
    </w:p>
    <w:p w14:paraId="5F2E3C21" w14:textId="38B97DD6" w:rsidR="003428FF" w:rsidRDefault="009B5454">
      <w:pPr>
        <w:rPr>
          <w:rFonts w:ascii="Garamond" w:hAnsi="Garamond"/>
          <w:color w:val="000000" w:themeColor="text1"/>
        </w:rPr>
      </w:pPr>
      <w:r w:rsidRPr="009B5454">
        <w:rPr>
          <w:rFonts w:ascii="Garamond" w:hAnsi="Garamond"/>
          <w:color w:val="000000" w:themeColor="text1"/>
        </w:rPr>
        <w:t xml:space="preserve">The following recommendations were developed by the </w:t>
      </w:r>
      <w:r>
        <w:rPr>
          <w:rFonts w:ascii="Garamond" w:hAnsi="Garamond"/>
          <w:color w:val="000000" w:themeColor="text1"/>
        </w:rPr>
        <w:t>Health and Wellness</w:t>
      </w:r>
      <w:r w:rsidRPr="009B5454">
        <w:rPr>
          <w:rFonts w:ascii="Garamond" w:hAnsi="Garamond"/>
          <w:color w:val="000000" w:themeColor="text1"/>
        </w:rPr>
        <w:t xml:space="preserve"> Task Group</w:t>
      </w:r>
      <w:r>
        <w:rPr>
          <w:rFonts w:ascii="Garamond" w:hAnsi="Garamond"/>
          <w:color w:val="000000" w:themeColor="text1"/>
        </w:rPr>
        <w:t xml:space="preserve"> (hereafter, “the </w:t>
      </w:r>
      <w:r w:rsidRPr="009B5454">
        <w:rPr>
          <w:rFonts w:ascii="Garamond" w:hAnsi="Garamond"/>
          <w:color w:val="000000" w:themeColor="text1"/>
        </w:rPr>
        <w:t>HW Task Group</w:t>
      </w:r>
      <w:r>
        <w:rPr>
          <w:rFonts w:ascii="Garamond" w:hAnsi="Garamond"/>
          <w:color w:val="000000" w:themeColor="text1"/>
        </w:rPr>
        <w:t>”</w:t>
      </w:r>
      <w:r w:rsidRPr="009B5454">
        <w:rPr>
          <w:rFonts w:ascii="Garamond" w:hAnsi="Garamond"/>
          <w:color w:val="000000" w:themeColor="text1"/>
        </w:rPr>
        <w:t>) of GSA’s Green Building Advisory Committee (hereafter “the Committee”) and accepted by the full Committee at its meeting on October 24, 2017.</w:t>
      </w:r>
      <w:r>
        <w:rPr>
          <w:rFonts w:ascii="Garamond" w:hAnsi="Garamond"/>
          <w:color w:val="000000" w:themeColor="text1"/>
        </w:rPr>
        <w:t xml:space="preserve"> </w:t>
      </w:r>
      <w:r w:rsidR="00E1742D">
        <w:rPr>
          <w:rFonts w:ascii="Garamond" w:hAnsi="Garamond"/>
          <w:color w:val="000000" w:themeColor="text1"/>
        </w:rPr>
        <w:t>This document summari</w:t>
      </w:r>
      <w:r w:rsidR="003A70FD">
        <w:rPr>
          <w:rFonts w:ascii="Garamond" w:hAnsi="Garamond"/>
          <w:color w:val="000000" w:themeColor="text1"/>
        </w:rPr>
        <w:t>z</w:t>
      </w:r>
      <w:r w:rsidR="00E1742D">
        <w:rPr>
          <w:rFonts w:ascii="Garamond" w:hAnsi="Garamond"/>
          <w:color w:val="000000" w:themeColor="text1"/>
        </w:rPr>
        <w:t>es the</w:t>
      </w:r>
      <w:r>
        <w:rPr>
          <w:rFonts w:ascii="Garamond" w:hAnsi="Garamond"/>
          <w:color w:val="000000" w:themeColor="text1"/>
        </w:rPr>
        <w:t>se</w:t>
      </w:r>
      <w:r w:rsidR="00E1742D">
        <w:rPr>
          <w:rFonts w:ascii="Garamond" w:hAnsi="Garamond"/>
          <w:color w:val="000000" w:themeColor="text1"/>
        </w:rPr>
        <w:t xml:space="preserve"> recommendations</w:t>
      </w:r>
      <w:r>
        <w:rPr>
          <w:rFonts w:ascii="Garamond" w:hAnsi="Garamond"/>
          <w:color w:val="000000" w:themeColor="text1"/>
        </w:rPr>
        <w:t>,</w:t>
      </w:r>
      <w:r w:rsidR="0000432A">
        <w:rPr>
          <w:rFonts w:ascii="Garamond" w:hAnsi="Garamond"/>
          <w:color w:val="000000" w:themeColor="text1"/>
        </w:rPr>
        <w:t xml:space="preserve"> </w:t>
      </w:r>
      <w:r w:rsidR="00170A23">
        <w:rPr>
          <w:rFonts w:ascii="Garamond" w:hAnsi="Garamond"/>
          <w:color w:val="000000" w:themeColor="text1"/>
        </w:rPr>
        <w:t xml:space="preserve">developed </w:t>
      </w:r>
      <w:r w:rsidR="0000432A">
        <w:rPr>
          <w:rFonts w:ascii="Garamond" w:hAnsi="Garamond"/>
          <w:color w:val="000000" w:themeColor="text1"/>
        </w:rPr>
        <w:t>with the purpose of improv</w:t>
      </w:r>
      <w:r w:rsidR="00170A23">
        <w:rPr>
          <w:rFonts w:ascii="Garamond" w:hAnsi="Garamond"/>
          <w:color w:val="000000" w:themeColor="text1"/>
        </w:rPr>
        <w:t>ing</w:t>
      </w:r>
      <w:r w:rsidR="0000432A">
        <w:rPr>
          <w:rFonts w:ascii="Garamond" w:hAnsi="Garamond"/>
          <w:color w:val="000000" w:themeColor="text1"/>
        </w:rPr>
        <w:t xml:space="preserve"> the health and well</w:t>
      </w:r>
      <w:r w:rsidR="00FF063E">
        <w:rPr>
          <w:rFonts w:ascii="Garamond" w:hAnsi="Garamond"/>
          <w:color w:val="000000" w:themeColor="text1"/>
        </w:rPr>
        <w:t>-</w:t>
      </w:r>
      <w:r w:rsidR="0000432A">
        <w:rPr>
          <w:rFonts w:ascii="Garamond" w:hAnsi="Garamond"/>
          <w:color w:val="000000" w:themeColor="text1"/>
        </w:rPr>
        <w:t xml:space="preserve">being of </w:t>
      </w:r>
      <w:r w:rsidR="007363AF">
        <w:rPr>
          <w:rFonts w:ascii="Garamond" w:hAnsi="Garamond"/>
          <w:color w:val="000000" w:themeColor="text1"/>
        </w:rPr>
        <w:t>Federal</w:t>
      </w:r>
      <w:r w:rsidR="0000432A">
        <w:rPr>
          <w:rFonts w:ascii="Garamond" w:hAnsi="Garamond"/>
          <w:color w:val="000000" w:themeColor="text1"/>
        </w:rPr>
        <w:t xml:space="preserve"> employees and </w:t>
      </w:r>
      <w:r w:rsidR="007363AF">
        <w:rPr>
          <w:rFonts w:ascii="Garamond" w:hAnsi="Garamond"/>
          <w:color w:val="000000" w:themeColor="text1"/>
        </w:rPr>
        <w:t xml:space="preserve">others who </w:t>
      </w:r>
      <w:r w:rsidR="00F54E45">
        <w:rPr>
          <w:rFonts w:ascii="Garamond" w:hAnsi="Garamond"/>
          <w:color w:val="000000" w:themeColor="text1"/>
        </w:rPr>
        <w:t xml:space="preserve">occupy </w:t>
      </w:r>
      <w:r w:rsidR="007363AF">
        <w:rPr>
          <w:rFonts w:ascii="Garamond" w:hAnsi="Garamond"/>
          <w:color w:val="000000" w:themeColor="text1"/>
        </w:rPr>
        <w:t>Federal</w:t>
      </w:r>
      <w:r w:rsidR="0000432A">
        <w:rPr>
          <w:rFonts w:ascii="Garamond" w:hAnsi="Garamond"/>
          <w:color w:val="000000" w:themeColor="text1"/>
        </w:rPr>
        <w:t xml:space="preserve"> buildings. The</w:t>
      </w:r>
      <w:r w:rsidR="00F54E45">
        <w:rPr>
          <w:rFonts w:ascii="Garamond" w:hAnsi="Garamond"/>
          <w:color w:val="000000" w:themeColor="text1"/>
        </w:rPr>
        <w:t>se</w:t>
      </w:r>
      <w:r w:rsidR="0000432A">
        <w:rPr>
          <w:rFonts w:ascii="Garamond" w:hAnsi="Garamond"/>
          <w:color w:val="000000" w:themeColor="text1"/>
        </w:rPr>
        <w:t xml:space="preserve"> recommendations build upon existing </w:t>
      </w:r>
      <w:r w:rsidR="00DC634E">
        <w:rPr>
          <w:rFonts w:ascii="Garamond" w:hAnsi="Garamond"/>
          <w:color w:val="000000" w:themeColor="text1"/>
        </w:rPr>
        <w:t>efforts to improve</w:t>
      </w:r>
      <w:r w:rsidR="0000432A">
        <w:rPr>
          <w:rFonts w:ascii="Garamond" w:hAnsi="Garamond"/>
          <w:color w:val="000000" w:themeColor="text1"/>
        </w:rPr>
        <w:t xml:space="preserve"> health and wellness that many agencies have already begun to implement</w:t>
      </w:r>
      <w:r w:rsidR="00196F0B">
        <w:rPr>
          <w:rFonts w:ascii="Garamond" w:hAnsi="Garamond"/>
          <w:color w:val="000000" w:themeColor="text1"/>
        </w:rPr>
        <w:t>, as well as</w:t>
      </w:r>
      <w:r w:rsidR="0000432A">
        <w:rPr>
          <w:rFonts w:ascii="Garamond" w:hAnsi="Garamond"/>
          <w:color w:val="000000" w:themeColor="text1"/>
        </w:rPr>
        <w:t xml:space="preserve"> </w:t>
      </w:r>
      <w:r w:rsidR="00196F0B">
        <w:rPr>
          <w:rFonts w:ascii="Garamond" w:hAnsi="Garamond"/>
          <w:color w:val="000000" w:themeColor="text1"/>
        </w:rPr>
        <w:t xml:space="preserve">accelerating work within the private sector real estate community to integrate health and wellness into the built environment, utilizing criteria provided in various certification programs. </w:t>
      </w:r>
      <w:r w:rsidR="0000432A">
        <w:rPr>
          <w:rFonts w:ascii="Garamond" w:hAnsi="Garamond"/>
          <w:color w:val="000000" w:themeColor="text1"/>
        </w:rPr>
        <w:t xml:space="preserve">Adoption of these </w:t>
      </w:r>
      <w:r w:rsidR="00780CB3">
        <w:rPr>
          <w:rFonts w:ascii="Garamond" w:hAnsi="Garamond"/>
          <w:color w:val="000000" w:themeColor="text1"/>
        </w:rPr>
        <w:t xml:space="preserve">recommendations as </w:t>
      </w:r>
      <w:r w:rsidR="00F55D2A">
        <w:rPr>
          <w:rFonts w:ascii="Garamond" w:hAnsi="Garamond"/>
          <w:color w:val="000000" w:themeColor="text1"/>
        </w:rPr>
        <w:t xml:space="preserve">Federal </w:t>
      </w:r>
      <w:r w:rsidR="0000432A">
        <w:rPr>
          <w:rFonts w:ascii="Garamond" w:hAnsi="Garamond"/>
          <w:color w:val="000000" w:themeColor="text1"/>
        </w:rPr>
        <w:t xml:space="preserve">policies will </w:t>
      </w:r>
      <w:r w:rsidR="00196F0B">
        <w:rPr>
          <w:rFonts w:ascii="Garamond" w:hAnsi="Garamond"/>
          <w:color w:val="000000" w:themeColor="text1"/>
        </w:rPr>
        <w:t xml:space="preserve">promote </w:t>
      </w:r>
      <w:r w:rsidR="00580B9F">
        <w:rPr>
          <w:rFonts w:ascii="Garamond" w:hAnsi="Garamond"/>
          <w:color w:val="000000" w:themeColor="text1"/>
        </w:rPr>
        <w:t>continue</w:t>
      </w:r>
      <w:r w:rsidR="00196F0B">
        <w:rPr>
          <w:rFonts w:ascii="Garamond" w:hAnsi="Garamond"/>
          <w:color w:val="000000" w:themeColor="text1"/>
        </w:rPr>
        <w:t>d</w:t>
      </w:r>
      <w:r w:rsidR="00580B9F">
        <w:rPr>
          <w:rFonts w:ascii="Garamond" w:hAnsi="Garamond"/>
          <w:color w:val="000000" w:themeColor="text1"/>
        </w:rPr>
        <w:t xml:space="preserve"> </w:t>
      </w:r>
      <w:r w:rsidR="0000432A">
        <w:rPr>
          <w:rFonts w:ascii="Garamond" w:hAnsi="Garamond"/>
          <w:color w:val="000000" w:themeColor="text1"/>
        </w:rPr>
        <w:t>improve</w:t>
      </w:r>
      <w:r w:rsidR="00196F0B">
        <w:rPr>
          <w:rFonts w:ascii="Garamond" w:hAnsi="Garamond"/>
          <w:color w:val="000000" w:themeColor="text1"/>
        </w:rPr>
        <w:t>ment in</w:t>
      </w:r>
      <w:r w:rsidR="0078135E">
        <w:rPr>
          <w:rFonts w:ascii="Garamond" w:hAnsi="Garamond"/>
          <w:color w:val="000000" w:themeColor="text1"/>
        </w:rPr>
        <w:t xml:space="preserve"> occupant</w:t>
      </w:r>
      <w:r w:rsidR="0000432A">
        <w:rPr>
          <w:rFonts w:ascii="Garamond" w:hAnsi="Garamond"/>
          <w:color w:val="000000" w:themeColor="text1"/>
        </w:rPr>
        <w:t xml:space="preserve"> health and wellness outcomes in buildings throughout the </w:t>
      </w:r>
      <w:r w:rsidR="007363AF">
        <w:rPr>
          <w:rFonts w:ascii="Garamond" w:hAnsi="Garamond"/>
          <w:color w:val="000000" w:themeColor="text1"/>
        </w:rPr>
        <w:t>Federal</w:t>
      </w:r>
      <w:r w:rsidR="0000432A">
        <w:rPr>
          <w:rFonts w:ascii="Garamond" w:hAnsi="Garamond"/>
          <w:color w:val="000000" w:themeColor="text1"/>
        </w:rPr>
        <w:t xml:space="preserve"> building portfolio.</w:t>
      </w:r>
    </w:p>
    <w:p w14:paraId="52E677D6" w14:textId="77777777" w:rsidR="0000432A" w:rsidRDefault="0000432A">
      <w:pPr>
        <w:rPr>
          <w:rFonts w:ascii="Garamond" w:hAnsi="Garamond"/>
          <w:color w:val="000000" w:themeColor="text1"/>
        </w:rPr>
      </w:pPr>
    </w:p>
    <w:p w14:paraId="6E902647" w14:textId="0914E395" w:rsidR="0000432A" w:rsidRDefault="0000432A">
      <w:pPr>
        <w:rPr>
          <w:rFonts w:ascii="Garamond" w:hAnsi="Garamond"/>
          <w:color w:val="000000" w:themeColor="text1"/>
        </w:rPr>
      </w:pPr>
      <w:r>
        <w:rPr>
          <w:rFonts w:ascii="Garamond" w:hAnsi="Garamond"/>
          <w:color w:val="000000" w:themeColor="text1"/>
        </w:rPr>
        <w:t xml:space="preserve">The overarching goal </w:t>
      </w:r>
      <w:r w:rsidR="00BB33DD">
        <w:rPr>
          <w:rFonts w:ascii="Garamond" w:hAnsi="Garamond"/>
          <w:color w:val="000000" w:themeColor="text1"/>
        </w:rPr>
        <w:t>of</w:t>
      </w:r>
      <w:r>
        <w:rPr>
          <w:rFonts w:ascii="Garamond" w:hAnsi="Garamond"/>
          <w:color w:val="000000" w:themeColor="text1"/>
        </w:rPr>
        <w:t xml:space="preserve"> the </w:t>
      </w:r>
      <w:r w:rsidR="006F15AC">
        <w:rPr>
          <w:rFonts w:ascii="Garamond" w:hAnsi="Garamond"/>
          <w:color w:val="000000" w:themeColor="text1"/>
        </w:rPr>
        <w:t>Committee</w:t>
      </w:r>
      <w:r>
        <w:rPr>
          <w:rFonts w:ascii="Garamond" w:hAnsi="Garamond"/>
          <w:color w:val="000000" w:themeColor="text1"/>
        </w:rPr>
        <w:t xml:space="preserve"> </w:t>
      </w:r>
      <w:r w:rsidR="00BB33DD">
        <w:rPr>
          <w:rFonts w:ascii="Garamond" w:hAnsi="Garamond"/>
          <w:color w:val="000000" w:themeColor="text1"/>
        </w:rPr>
        <w:t xml:space="preserve">recommendations </w:t>
      </w:r>
      <w:r>
        <w:rPr>
          <w:rFonts w:ascii="Garamond" w:hAnsi="Garamond"/>
          <w:color w:val="000000" w:themeColor="text1"/>
        </w:rPr>
        <w:t xml:space="preserve">is to </w:t>
      </w:r>
      <w:r w:rsidRPr="0000432A">
        <w:rPr>
          <w:rFonts w:ascii="Garamond" w:hAnsi="Garamond"/>
          <w:b/>
          <w:color w:val="000000" w:themeColor="text1"/>
        </w:rPr>
        <w:t xml:space="preserve">integrate </w:t>
      </w:r>
      <w:r w:rsidR="00B86DCB" w:rsidRPr="0073307C">
        <w:rPr>
          <w:rFonts w:ascii="Garamond" w:hAnsi="Garamond"/>
          <w:b/>
          <w:color w:val="000000" w:themeColor="text1"/>
        </w:rPr>
        <w:t>additional</w:t>
      </w:r>
      <w:r w:rsidR="00B86DCB" w:rsidRPr="00B86DCB">
        <w:rPr>
          <w:rFonts w:ascii="Garamond" w:hAnsi="Garamond"/>
          <w:b/>
          <w:color w:val="000000" w:themeColor="text1"/>
        </w:rPr>
        <w:t xml:space="preserve"> </w:t>
      </w:r>
      <w:r w:rsidRPr="0000432A">
        <w:rPr>
          <w:rFonts w:ascii="Garamond" w:hAnsi="Garamond"/>
          <w:b/>
          <w:color w:val="000000" w:themeColor="text1"/>
        </w:rPr>
        <w:t>health and wellness criteria in</w:t>
      </w:r>
      <w:r w:rsidR="00196F0B">
        <w:rPr>
          <w:rFonts w:ascii="Garamond" w:hAnsi="Garamond"/>
          <w:b/>
          <w:color w:val="000000" w:themeColor="text1"/>
        </w:rPr>
        <w:t>to</w:t>
      </w:r>
      <w:r w:rsidRPr="0000432A">
        <w:rPr>
          <w:rFonts w:ascii="Garamond" w:hAnsi="Garamond"/>
          <w:b/>
          <w:color w:val="000000" w:themeColor="text1"/>
        </w:rPr>
        <w:t xml:space="preserve"> all</w:t>
      </w:r>
      <w:r w:rsidR="00E755FC">
        <w:rPr>
          <w:rFonts w:ascii="Garamond" w:hAnsi="Garamond"/>
          <w:b/>
          <w:color w:val="000000" w:themeColor="text1"/>
        </w:rPr>
        <w:t xml:space="preserve"> </w:t>
      </w:r>
      <w:r w:rsidR="00463059">
        <w:rPr>
          <w:rFonts w:ascii="Garamond" w:hAnsi="Garamond"/>
          <w:b/>
          <w:color w:val="000000" w:themeColor="text1"/>
        </w:rPr>
        <w:t>relevant</w:t>
      </w:r>
      <w:r w:rsidR="00E755FC">
        <w:rPr>
          <w:rFonts w:ascii="Garamond" w:hAnsi="Garamond"/>
          <w:b/>
          <w:color w:val="000000" w:themeColor="text1"/>
        </w:rPr>
        <w:t xml:space="preserve"> aspects</w:t>
      </w:r>
      <w:r w:rsidRPr="0000432A">
        <w:rPr>
          <w:rFonts w:ascii="Garamond" w:hAnsi="Garamond"/>
          <w:b/>
          <w:color w:val="000000" w:themeColor="text1"/>
        </w:rPr>
        <w:t xml:space="preserve"> of the design, </w:t>
      </w:r>
      <w:r w:rsidR="00BB33DD">
        <w:rPr>
          <w:rFonts w:ascii="Garamond" w:hAnsi="Garamond"/>
          <w:b/>
          <w:color w:val="000000" w:themeColor="text1"/>
        </w:rPr>
        <w:t xml:space="preserve">construction </w:t>
      </w:r>
      <w:r w:rsidRPr="0000432A">
        <w:rPr>
          <w:rFonts w:ascii="Garamond" w:hAnsi="Garamond"/>
          <w:b/>
          <w:color w:val="000000" w:themeColor="text1"/>
        </w:rPr>
        <w:t xml:space="preserve">and operation of </w:t>
      </w:r>
      <w:r w:rsidR="007363AF">
        <w:rPr>
          <w:rFonts w:ascii="Garamond" w:hAnsi="Garamond"/>
          <w:b/>
          <w:color w:val="000000" w:themeColor="text1"/>
        </w:rPr>
        <w:t>Federal</w:t>
      </w:r>
      <w:r w:rsidRPr="0000432A">
        <w:rPr>
          <w:rFonts w:ascii="Garamond" w:hAnsi="Garamond"/>
          <w:b/>
          <w:color w:val="000000" w:themeColor="text1"/>
        </w:rPr>
        <w:t xml:space="preserve"> </w:t>
      </w:r>
      <w:r w:rsidR="0078135E">
        <w:rPr>
          <w:rFonts w:ascii="Garamond" w:hAnsi="Garamond"/>
          <w:b/>
          <w:color w:val="000000" w:themeColor="text1"/>
        </w:rPr>
        <w:t>workplaces</w:t>
      </w:r>
      <w:r>
        <w:rPr>
          <w:rFonts w:ascii="Garamond" w:hAnsi="Garamond"/>
          <w:color w:val="000000" w:themeColor="text1"/>
        </w:rPr>
        <w:t xml:space="preserve">. This goal can be achieved through the careful implementation of existing </w:t>
      </w:r>
      <w:r w:rsidR="007363AF">
        <w:rPr>
          <w:rFonts w:ascii="Garamond" w:hAnsi="Garamond"/>
          <w:color w:val="000000" w:themeColor="text1"/>
        </w:rPr>
        <w:t>Federal</w:t>
      </w:r>
      <w:r>
        <w:rPr>
          <w:rFonts w:ascii="Garamond" w:hAnsi="Garamond"/>
          <w:color w:val="000000" w:themeColor="text1"/>
        </w:rPr>
        <w:t xml:space="preserve"> guidance</w:t>
      </w:r>
      <w:r w:rsidR="0073307C">
        <w:rPr>
          <w:rFonts w:ascii="Garamond" w:hAnsi="Garamond"/>
          <w:color w:val="000000" w:themeColor="text1"/>
        </w:rPr>
        <w:t xml:space="preserve"> and </w:t>
      </w:r>
      <w:r w:rsidR="00B86DCB">
        <w:rPr>
          <w:rFonts w:ascii="Garamond" w:hAnsi="Garamond"/>
          <w:color w:val="000000" w:themeColor="text1"/>
        </w:rPr>
        <w:t xml:space="preserve">expansion of </w:t>
      </w:r>
      <w:r>
        <w:rPr>
          <w:rFonts w:ascii="Garamond" w:hAnsi="Garamond"/>
          <w:color w:val="000000" w:themeColor="text1"/>
        </w:rPr>
        <w:t xml:space="preserve">this guidance </w:t>
      </w:r>
      <w:r w:rsidR="00DC634E">
        <w:rPr>
          <w:rFonts w:ascii="Garamond" w:hAnsi="Garamond"/>
          <w:color w:val="000000" w:themeColor="text1"/>
        </w:rPr>
        <w:t xml:space="preserve">to include </w:t>
      </w:r>
      <w:r>
        <w:rPr>
          <w:rFonts w:ascii="Garamond" w:hAnsi="Garamond"/>
          <w:color w:val="000000" w:themeColor="text1"/>
        </w:rPr>
        <w:t xml:space="preserve">additional </w:t>
      </w:r>
      <w:r w:rsidR="00196F0B">
        <w:rPr>
          <w:rFonts w:ascii="Garamond" w:hAnsi="Garamond"/>
          <w:color w:val="000000" w:themeColor="text1"/>
        </w:rPr>
        <w:t xml:space="preserve">considerations </w:t>
      </w:r>
      <w:r w:rsidR="00BB33DD">
        <w:rPr>
          <w:rFonts w:ascii="Garamond" w:hAnsi="Garamond"/>
          <w:color w:val="000000" w:themeColor="text1"/>
        </w:rPr>
        <w:t xml:space="preserve">in </w:t>
      </w:r>
      <w:r>
        <w:rPr>
          <w:rFonts w:ascii="Garamond" w:hAnsi="Garamond"/>
          <w:color w:val="000000" w:themeColor="text1"/>
        </w:rPr>
        <w:t xml:space="preserve">design processes, </w:t>
      </w:r>
      <w:r w:rsidR="00BB33DD">
        <w:rPr>
          <w:rFonts w:ascii="Garamond" w:hAnsi="Garamond"/>
          <w:color w:val="000000" w:themeColor="text1"/>
        </w:rPr>
        <w:t xml:space="preserve">construction approaches, </w:t>
      </w:r>
      <w:r w:rsidR="00262ABE">
        <w:rPr>
          <w:rFonts w:ascii="Garamond" w:hAnsi="Garamond"/>
          <w:color w:val="000000" w:themeColor="text1"/>
        </w:rPr>
        <w:t>and operational strategies.</w:t>
      </w:r>
    </w:p>
    <w:p w14:paraId="0BC5B880" w14:textId="77777777" w:rsidR="003428FF" w:rsidRDefault="003428FF">
      <w:pPr>
        <w:rPr>
          <w:rFonts w:ascii="Garamond" w:hAnsi="Garamond"/>
          <w:color w:val="000000" w:themeColor="text1"/>
        </w:rPr>
      </w:pPr>
    </w:p>
    <w:p w14:paraId="27BE4A51" w14:textId="52B2EF14" w:rsidR="003A70FD" w:rsidRDefault="0036131A" w:rsidP="0036131A">
      <w:pPr>
        <w:shd w:val="clear" w:color="auto" w:fill="FFFFFF"/>
        <w:rPr>
          <w:rFonts w:ascii="Garamond" w:eastAsia="Times New Roman" w:hAnsi="Garamond" w:cs="Arial"/>
        </w:rPr>
      </w:pPr>
      <w:r w:rsidRPr="00244B00">
        <w:rPr>
          <w:rFonts w:ascii="Garamond" w:eastAsia="Times New Roman" w:hAnsi="Garamond" w:cs="Arial"/>
        </w:rPr>
        <w:t xml:space="preserve">The </w:t>
      </w:r>
      <w:r w:rsidR="00170A30">
        <w:rPr>
          <w:rFonts w:ascii="Garamond" w:eastAsia="Times New Roman" w:hAnsi="Garamond" w:cs="Arial"/>
        </w:rPr>
        <w:t>main</w:t>
      </w:r>
      <w:r w:rsidRPr="00244B00">
        <w:rPr>
          <w:rFonts w:ascii="Garamond" w:eastAsia="Times New Roman" w:hAnsi="Garamond" w:cs="Arial"/>
        </w:rPr>
        <w:t xml:space="preserve"> audience</w:t>
      </w:r>
      <w:r w:rsidR="006F15AC">
        <w:rPr>
          <w:rFonts w:ascii="Garamond" w:eastAsia="Times New Roman" w:hAnsi="Garamond" w:cs="Arial"/>
        </w:rPr>
        <w:t>s</w:t>
      </w:r>
      <w:r w:rsidRPr="00244B00">
        <w:rPr>
          <w:rFonts w:ascii="Garamond" w:eastAsia="Times New Roman" w:hAnsi="Garamond" w:cs="Arial"/>
        </w:rPr>
        <w:t xml:space="preserve"> for the recommendations and criteria are planners and programmers, </w:t>
      </w:r>
      <w:r w:rsidR="00293C29" w:rsidRPr="00244B00">
        <w:rPr>
          <w:rFonts w:ascii="Garamond" w:eastAsia="Times New Roman" w:hAnsi="Garamond" w:cs="Arial"/>
        </w:rPr>
        <w:t xml:space="preserve">design professionals, </w:t>
      </w:r>
      <w:r w:rsidRPr="00244B00">
        <w:rPr>
          <w:rFonts w:ascii="Garamond" w:eastAsia="Times New Roman" w:hAnsi="Garamond" w:cs="Arial"/>
        </w:rPr>
        <w:t xml:space="preserve">building owners, </w:t>
      </w:r>
      <w:r w:rsidR="00BB33DD" w:rsidRPr="00244B00">
        <w:rPr>
          <w:rFonts w:ascii="Garamond" w:eastAsia="Times New Roman" w:hAnsi="Garamond" w:cs="Arial"/>
        </w:rPr>
        <w:t xml:space="preserve">facility managers, </w:t>
      </w:r>
      <w:r w:rsidR="00C07AA8">
        <w:rPr>
          <w:rFonts w:ascii="Garamond" w:eastAsia="Times New Roman" w:hAnsi="Garamond" w:cs="Arial"/>
        </w:rPr>
        <w:t xml:space="preserve">tenant agencies </w:t>
      </w:r>
      <w:r w:rsidRPr="00244B00">
        <w:rPr>
          <w:rFonts w:ascii="Garamond" w:eastAsia="Times New Roman" w:hAnsi="Garamond" w:cs="Arial"/>
        </w:rPr>
        <w:t>and</w:t>
      </w:r>
      <w:r w:rsidR="00896964">
        <w:rPr>
          <w:rFonts w:ascii="Garamond" w:eastAsia="Times New Roman" w:hAnsi="Garamond" w:cs="Arial"/>
        </w:rPr>
        <w:t xml:space="preserve"> building occupants</w:t>
      </w:r>
      <w:r w:rsidR="00F9705F">
        <w:rPr>
          <w:rFonts w:ascii="Garamond" w:eastAsia="Times New Roman" w:hAnsi="Garamond" w:cs="Arial"/>
        </w:rPr>
        <w:t>.</w:t>
      </w:r>
      <w:r w:rsidRPr="00244B00">
        <w:rPr>
          <w:rFonts w:ascii="Garamond" w:eastAsia="Times New Roman" w:hAnsi="Garamond" w:cs="Arial"/>
        </w:rPr>
        <w:t xml:space="preserve"> </w:t>
      </w:r>
      <w:r w:rsidR="00BB33DD">
        <w:rPr>
          <w:rFonts w:ascii="Garamond" w:eastAsia="Times New Roman" w:hAnsi="Garamond" w:cs="Arial"/>
        </w:rPr>
        <w:t>They are intended for</w:t>
      </w:r>
      <w:r w:rsidR="00BB33DD" w:rsidRPr="00244B00">
        <w:rPr>
          <w:rFonts w:ascii="Garamond" w:eastAsia="Times New Roman" w:hAnsi="Garamond" w:cs="Arial"/>
        </w:rPr>
        <w:t xml:space="preserve"> </w:t>
      </w:r>
      <w:r w:rsidRPr="00244B00">
        <w:rPr>
          <w:rFonts w:ascii="Garamond" w:eastAsia="Times New Roman" w:hAnsi="Garamond" w:cs="Arial"/>
        </w:rPr>
        <w:t xml:space="preserve">application </w:t>
      </w:r>
      <w:r w:rsidRPr="0036131A">
        <w:rPr>
          <w:rFonts w:ascii="Garamond" w:eastAsia="Times New Roman" w:hAnsi="Garamond" w:cs="Arial"/>
          <w:b/>
        </w:rPr>
        <w:t>primarily</w:t>
      </w:r>
      <w:r w:rsidRPr="00244B00">
        <w:rPr>
          <w:rFonts w:ascii="Garamond" w:eastAsia="Times New Roman" w:hAnsi="Garamond" w:cs="Arial"/>
        </w:rPr>
        <w:t xml:space="preserve"> </w:t>
      </w:r>
      <w:r w:rsidR="00BB33DD">
        <w:rPr>
          <w:rFonts w:ascii="Garamond" w:eastAsia="Times New Roman" w:hAnsi="Garamond" w:cs="Arial"/>
        </w:rPr>
        <w:t xml:space="preserve">in </w:t>
      </w:r>
      <w:r w:rsidRPr="00244B00">
        <w:rPr>
          <w:rFonts w:ascii="Garamond" w:eastAsia="Times New Roman" w:hAnsi="Garamond" w:cs="Arial"/>
        </w:rPr>
        <w:t>existing Federal buildings, because th</w:t>
      </w:r>
      <w:r w:rsidR="00B23DEB">
        <w:rPr>
          <w:rFonts w:ascii="Garamond" w:eastAsia="Times New Roman" w:hAnsi="Garamond" w:cs="Arial"/>
        </w:rPr>
        <w:t>is</w:t>
      </w:r>
      <w:r w:rsidRPr="00244B00">
        <w:rPr>
          <w:rFonts w:ascii="Garamond" w:eastAsia="Times New Roman" w:hAnsi="Garamond" w:cs="Arial"/>
        </w:rPr>
        <w:t xml:space="preserve"> is the largest portion of workplace portfolios.  </w:t>
      </w:r>
      <w:r w:rsidR="00B90524" w:rsidRPr="000C37A8">
        <w:rPr>
          <w:rFonts w:ascii="Garamond" w:eastAsia="Times New Roman" w:hAnsi="Garamond" w:cs="Arial"/>
        </w:rPr>
        <w:t xml:space="preserve">The recommendations </w:t>
      </w:r>
      <w:r w:rsidR="00664142">
        <w:rPr>
          <w:rFonts w:ascii="Garamond" w:eastAsia="Times New Roman" w:hAnsi="Garamond" w:cs="Arial"/>
        </w:rPr>
        <w:t xml:space="preserve">also </w:t>
      </w:r>
      <w:r w:rsidR="00B90524" w:rsidRPr="000C37A8">
        <w:rPr>
          <w:rFonts w:ascii="Garamond" w:eastAsia="Times New Roman" w:hAnsi="Garamond" w:cs="Arial"/>
        </w:rPr>
        <w:t>have application</w:t>
      </w:r>
      <w:r w:rsidR="00DC634E">
        <w:rPr>
          <w:rFonts w:ascii="Garamond" w:eastAsia="Times New Roman" w:hAnsi="Garamond" w:cs="Arial"/>
        </w:rPr>
        <w:t>s</w:t>
      </w:r>
      <w:r w:rsidR="00B90524" w:rsidRPr="000C37A8">
        <w:rPr>
          <w:rFonts w:ascii="Garamond" w:eastAsia="Times New Roman" w:hAnsi="Garamond" w:cs="Arial"/>
        </w:rPr>
        <w:t xml:space="preserve"> in federal leased facilities and may be used to inform leasing decisions and renovation work in leased facilities.</w:t>
      </w:r>
      <w:r w:rsidR="00B90524">
        <w:rPr>
          <w:rFonts w:ascii="Garamond" w:eastAsia="Times New Roman" w:hAnsi="Garamond" w:cs="Arial"/>
        </w:rPr>
        <w:t xml:space="preserve"> </w:t>
      </w:r>
      <w:r w:rsidRPr="00244B00">
        <w:rPr>
          <w:rFonts w:ascii="Garamond" w:eastAsia="Times New Roman" w:hAnsi="Garamond" w:cs="Arial"/>
        </w:rPr>
        <w:t xml:space="preserve">For existing buildings, there is an opportunity for </w:t>
      </w:r>
      <w:r w:rsidR="004A6C08">
        <w:rPr>
          <w:rFonts w:ascii="Garamond" w:eastAsia="Times New Roman" w:hAnsi="Garamond" w:cs="Arial"/>
        </w:rPr>
        <w:t xml:space="preserve">building owners and </w:t>
      </w:r>
      <w:r w:rsidRPr="00244B00">
        <w:rPr>
          <w:rFonts w:ascii="Garamond" w:eastAsia="Times New Roman" w:hAnsi="Garamond" w:cs="Arial"/>
        </w:rPr>
        <w:t xml:space="preserve">facility managers to promote aspects of the built environment that may contribute to positive behaviors by </w:t>
      </w:r>
      <w:r w:rsidR="00B86DCB">
        <w:rPr>
          <w:rFonts w:ascii="Garamond" w:eastAsia="Times New Roman" w:hAnsi="Garamond" w:cs="Arial"/>
        </w:rPr>
        <w:t>creating</w:t>
      </w:r>
      <w:r w:rsidRPr="00244B00">
        <w:rPr>
          <w:rFonts w:ascii="Garamond" w:eastAsia="Times New Roman" w:hAnsi="Garamond" w:cs="Arial"/>
        </w:rPr>
        <w:t xml:space="preserve"> </w:t>
      </w:r>
      <w:r w:rsidR="00500971" w:rsidRPr="00244B00">
        <w:rPr>
          <w:rFonts w:ascii="Garamond" w:eastAsia="Times New Roman" w:hAnsi="Garamond" w:cs="Arial"/>
        </w:rPr>
        <w:t xml:space="preserve">and promoting </w:t>
      </w:r>
      <w:r w:rsidRPr="00244B00">
        <w:rPr>
          <w:rFonts w:ascii="Garamond" w:eastAsia="Times New Roman" w:hAnsi="Garamond" w:cs="Arial"/>
        </w:rPr>
        <w:t xml:space="preserve">health and wellness </w:t>
      </w:r>
      <w:r w:rsidR="0070647A">
        <w:rPr>
          <w:rFonts w:ascii="Garamond" w:eastAsia="Times New Roman" w:hAnsi="Garamond" w:cs="Arial"/>
        </w:rPr>
        <w:t>options</w:t>
      </w:r>
      <w:r w:rsidR="00896964">
        <w:rPr>
          <w:rFonts w:ascii="Garamond" w:eastAsia="Times New Roman" w:hAnsi="Garamond" w:cs="Arial"/>
        </w:rPr>
        <w:t xml:space="preserve"> </w:t>
      </w:r>
      <w:r w:rsidR="00B86DCB" w:rsidRPr="00244B00">
        <w:rPr>
          <w:rFonts w:ascii="Garamond" w:eastAsia="Times New Roman" w:hAnsi="Garamond" w:cs="Arial"/>
        </w:rPr>
        <w:t>clearly</w:t>
      </w:r>
      <w:r w:rsidR="00B86DCB">
        <w:rPr>
          <w:rFonts w:ascii="Garamond" w:eastAsia="Times New Roman" w:hAnsi="Garamond" w:cs="Arial"/>
        </w:rPr>
        <w:t xml:space="preserve"> and broadly</w:t>
      </w:r>
      <w:r w:rsidRPr="00244B00">
        <w:rPr>
          <w:rFonts w:ascii="Garamond" w:eastAsia="Times New Roman" w:hAnsi="Garamond" w:cs="Arial"/>
        </w:rPr>
        <w:t>.  Through education, signage</w:t>
      </w:r>
      <w:r w:rsidR="00463059">
        <w:rPr>
          <w:rFonts w:ascii="Garamond" w:eastAsia="Times New Roman" w:hAnsi="Garamond" w:cs="Arial"/>
        </w:rPr>
        <w:t xml:space="preserve"> and wayfinding</w:t>
      </w:r>
      <w:r w:rsidRPr="00244B00">
        <w:rPr>
          <w:rFonts w:ascii="Garamond" w:eastAsia="Times New Roman" w:hAnsi="Garamond" w:cs="Arial"/>
        </w:rPr>
        <w:t xml:space="preserve">, </w:t>
      </w:r>
      <w:r w:rsidR="00500971">
        <w:rPr>
          <w:rFonts w:ascii="Garamond" w:eastAsia="Times New Roman" w:hAnsi="Garamond" w:cs="Arial"/>
        </w:rPr>
        <w:t xml:space="preserve">posting </w:t>
      </w:r>
      <w:r w:rsidR="00463059">
        <w:rPr>
          <w:rFonts w:ascii="Garamond" w:eastAsia="Times New Roman" w:hAnsi="Garamond" w:cs="Arial"/>
        </w:rPr>
        <w:t>information</w:t>
      </w:r>
      <w:r w:rsidRPr="00244B00">
        <w:rPr>
          <w:rFonts w:ascii="Garamond" w:eastAsia="Times New Roman" w:hAnsi="Garamond" w:cs="Arial"/>
        </w:rPr>
        <w:t xml:space="preserve">, and various other means, </w:t>
      </w:r>
      <w:r w:rsidR="004A6C08">
        <w:rPr>
          <w:rFonts w:ascii="Garamond" w:eastAsia="Times New Roman" w:hAnsi="Garamond" w:cs="Arial"/>
        </w:rPr>
        <w:t>building owners</w:t>
      </w:r>
      <w:r w:rsidR="00233608">
        <w:rPr>
          <w:rFonts w:ascii="Garamond" w:eastAsia="Times New Roman" w:hAnsi="Garamond" w:cs="Arial"/>
        </w:rPr>
        <w:t>,</w:t>
      </w:r>
      <w:r w:rsidR="004A6C08">
        <w:rPr>
          <w:rFonts w:ascii="Garamond" w:eastAsia="Times New Roman" w:hAnsi="Garamond" w:cs="Arial"/>
        </w:rPr>
        <w:t xml:space="preserve"> </w:t>
      </w:r>
      <w:r w:rsidRPr="00244B00">
        <w:rPr>
          <w:rFonts w:ascii="Garamond" w:eastAsia="Times New Roman" w:hAnsi="Garamond" w:cs="Arial"/>
        </w:rPr>
        <w:t>facility managers</w:t>
      </w:r>
      <w:r w:rsidR="00553D83">
        <w:rPr>
          <w:rFonts w:ascii="Garamond" w:eastAsia="Times New Roman" w:hAnsi="Garamond" w:cs="Arial"/>
        </w:rPr>
        <w:t>,</w:t>
      </w:r>
      <w:r w:rsidR="00233608">
        <w:rPr>
          <w:rFonts w:ascii="Garamond" w:eastAsia="Times New Roman" w:hAnsi="Garamond" w:cs="Arial"/>
        </w:rPr>
        <w:t xml:space="preserve"> and tenant agencies</w:t>
      </w:r>
      <w:r w:rsidR="00DC634E">
        <w:rPr>
          <w:rFonts w:ascii="Garamond" w:eastAsia="Times New Roman" w:hAnsi="Garamond" w:cs="Arial"/>
        </w:rPr>
        <w:t xml:space="preserve"> </w:t>
      </w:r>
      <w:r w:rsidR="00896964">
        <w:rPr>
          <w:rFonts w:ascii="Garamond" w:eastAsia="Times New Roman" w:hAnsi="Garamond" w:cs="Arial"/>
        </w:rPr>
        <w:t xml:space="preserve">can </w:t>
      </w:r>
      <w:r w:rsidRPr="00244B00">
        <w:rPr>
          <w:rFonts w:ascii="Garamond" w:eastAsia="Times New Roman" w:hAnsi="Garamond" w:cs="Arial"/>
        </w:rPr>
        <w:t xml:space="preserve">encourage </w:t>
      </w:r>
      <w:r w:rsidR="00233608">
        <w:rPr>
          <w:rFonts w:ascii="Garamond" w:eastAsia="Times New Roman" w:hAnsi="Garamond" w:cs="Arial"/>
        </w:rPr>
        <w:t>occupants</w:t>
      </w:r>
      <w:r w:rsidR="00233608" w:rsidRPr="00244B00">
        <w:rPr>
          <w:rFonts w:ascii="Garamond" w:eastAsia="Times New Roman" w:hAnsi="Garamond" w:cs="Arial"/>
        </w:rPr>
        <w:t xml:space="preserve"> </w:t>
      </w:r>
      <w:r w:rsidRPr="00244B00">
        <w:rPr>
          <w:rFonts w:ascii="Garamond" w:eastAsia="Times New Roman" w:hAnsi="Garamond" w:cs="Arial"/>
        </w:rPr>
        <w:t xml:space="preserve">to be aware of healthier choices that </w:t>
      </w:r>
      <w:r w:rsidR="006F15AC">
        <w:rPr>
          <w:rFonts w:ascii="Garamond" w:eastAsia="Times New Roman" w:hAnsi="Garamond" w:cs="Arial"/>
        </w:rPr>
        <w:t>can</w:t>
      </w:r>
      <w:r w:rsidR="006F15AC" w:rsidRPr="00244B00">
        <w:rPr>
          <w:rFonts w:ascii="Garamond" w:eastAsia="Times New Roman" w:hAnsi="Garamond" w:cs="Arial"/>
        </w:rPr>
        <w:t xml:space="preserve"> </w:t>
      </w:r>
      <w:r w:rsidRPr="00244B00">
        <w:rPr>
          <w:rFonts w:ascii="Garamond" w:eastAsia="Times New Roman" w:hAnsi="Garamond" w:cs="Arial"/>
        </w:rPr>
        <w:t>impact their overall wellness.</w:t>
      </w:r>
    </w:p>
    <w:p w14:paraId="0FBA65C4" w14:textId="77777777" w:rsidR="003A70FD" w:rsidRDefault="003A70FD" w:rsidP="0036131A">
      <w:pPr>
        <w:shd w:val="clear" w:color="auto" w:fill="FFFFFF"/>
        <w:rPr>
          <w:rFonts w:ascii="Garamond" w:eastAsia="Times New Roman" w:hAnsi="Garamond" w:cs="Arial"/>
        </w:rPr>
      </w:pPr>
    </w:p>
    <w:p w14:paraId="7DE70C96" w14:textId="72042E1C" w:rsidR="0036131A" w:rsidRDefault="0036131A" w:rsidP="0036131A">
      <w:pPr>
        <w:shd w:val="clear" w:color="auto" w:fill="FFFFFF"/>
        <w:rPr>
          <w:rFonts w:ascii="Garamond" w:eastAsia="Times New Roman" w:hAnsi="Garamond" w:cs="Arial"/>
        </w:rPr>
      </w:pPr>
      <w:r w:rsidRPr="00244B00">
        <w:rPr>
          <w:rFonts w:ascii="Garamond" w:eastAsia="Times New Roman" w:hAnsi="Garamond" w:cs="Arial"/>
        </w:rPr>
        <w:t>For existing buildings that are in the process of cycl</w:t>
      </w:r>
      <w:r w:rsidR="00BE1BD2">
        <w:rPr>
          <w:rFonts w:ascii="Garamond" w:eastAsia="Times New Roman" w:hAnsi="Garamond" w:cs="Arial"/>
        </w:rPr>
        <w:t>ic</w:t>
      </w:r>
      <w:r w:rsidR="00664142">
        <w:rPr>
          <w:rFonts w:ascii="Garamond" w:eastAsia="Times New Roman" w:hAnsi="Garamond" w:cs="Arial"/>
        </w:rPr>
        <w:t>al</w:t>
      </w:r>
      <w:r w:rsidRPr="00244B00">
        <w:rPr>
          <w:rFonts w:ascii="Garamond" w:eastAsia="Times New Roman" w:hAnsi="Garamond" w:cs="Arial"/>
        </w:rPr>
        <w:t xml:space="preserve"> or major renovations, owners, design</w:t>
      </w:r>
      <w:r w:rsidR="00DC634E">
        <w:rPr>
          <w:rFonts w:ascii="Garamond" w:eastAsia="Times New Roman" w:hAnsi="Garamond" w:cs="Arial"/>
        </w:rPr>
        <w:t>ers</w:t>
      </w:r>
      <w:r w:rsidR="007E2B99">
        <w:rPr>
          <w:rFonts w:ascii="Garamond" w:eastAsia="Times New Roman" w:hAnsi="Garamond" w:cs="Arial"/>
        </w:rPr>
        <w:t>,</w:t>
      </w:r>
      <w:r w:rsidRPr="00244B00">
        <w:rPr>
          <w:rFonts w:ascii="Garamond" w:eastAsia="Times New Roman" w:hAnsi="Garamond" w:cs="Arial"/>
        </w:rPr>
        <w:t xml:space="preserve"> planners, and programmers have </w:t>
      </w:r>
      <w:r w:rsidR="00196F0B" w:rsidRPr="00244B00">
        <w:rPr>
          <w:rFonts w:ascii="Garamond" w:eastAsia="Times New Roman" w:hAnsi="Garamond" w:cs="Arial"/>
        </w:rPr>
        <w:t>opportunit</w:t>
      </w:r>
      <w:r w:rsidR="00196F0B">
        <w:rPr>
          <w:rFonts w:ascii="Garamond" w:eastAsia="Times New Roman" w:hAnsi="Garamond" w:cs="Arial"/>
        </w:rPr>
        <w:t>ies</w:t>
      </w:r>
      <w:r w:rsidR="00196F0B" w:rsidRPr="00244B00">
        <w:rPr>
          <w:rFonts w:ascii="Garamond" w:eastAsia="Times New Roman" w:hAnsi="Garamond" w:cs="Arial"/>
        </w:rPr>
        <w:t xml:space="preserve"> </w:t>
      </w:r>
      <w:r w:rsidRPr="00244B00">
        <w:rPr>
          <w:rFonts w:ascii="Garamond" w:eastAsia="Times New Roman" w:hAnsi="Garamond" w:cs="Arial"/>
        </w:rPr>
        <w:t xml:space="preserve">to </w:t>
      </w:r>
      <w:r w:rsidR="00BE1BD2">
        <w:rPr>
          <w:rFonts w:ascii="Garamond" w:eastAsia="Times New Roman" w:hAnsi="Garamond" w:cs="Arial"/>
        </w:rPr>
        <w:t>make</w:t>
      </w:r>
      <w:r w:rsidR="00BE1BD2" w:rsidRPr="00244B00">
        <w:rPr>
          <w:rFonts w:ascii="Garamond" w:eastAsia="Times New Roman" w:hAnsi="Garamond" w:cs="Arial"/>
        </w:rPr>
        <w:t xml:space="preserve"> </w:t>
      </w:r>
      <w:r w:rsidRPr="00244B00">
        <w:rPr>
          <w:rFonts w:ascii="Garamond" w:eastAsia="Times New Roman" w:hAnsi="Garamond" w:cs="Arial"/>
        </w:rPr>
        <w:t xml:space="preserve">physical changes that encourage and support healthier choices for </w:t>
      </w:r>
      <w:r w:rsidR="006E2F80">
        <w:rPr>
          <w:rFonts w:ascii="Garamond" w:eastAsia="Times New Roman" w:hAnsi="Garamond" w:cs="Arial"/>
        </w:rPr>
        <w:t xml:space="preserve">all Federal building users. </w:t>
      </w:r>
      <w:r w:rsidRPr="00244B00">
        <w:rPr>
          <w:rFonts w:ascii="Garamond" w:eastAsia="Times New Roman" w:hAnsi="Garamond" w:cs="Arial"/>
        </w:rPr>
        <w:t xml:space="preserve"> Through providing </w:t>
      </w:r>
      <w:r w:rsidR="003A70FD">
        <w:rPr>
          <w:rFonts w:ascii="Garamond" w:eastAsia="Times New Roman" w:hAnsi="Garamond" w:cs="Arial"/>
        </w:rPr>
        <w:t xml:space="preserve">guidance </w:t>
      </w:r>
      <w:r w:rsidR="00BE12C7">
        <w:rPr>
          <w:rFonts w:ascii="Garamond" w:eastAsia="Times New Roman" w:hAnsi="Garamond" w:cs="Arial"/>
        </w:rPr>
        <w:t xml:space="preserve">and </w:t>
      </w:r>
      <w:r w:rsidR="00BE1BD2">
        <w:rPr>
          <w:rFonts w:ascii="Garamond" w:eastAsia="Times New Roman" w:hAnsi="Garamond" w:cs="Arial"/>
        </w:rPr>
        <w:t>potential</w:t>
      </w:r>
      <w:r w:rsidR="00BE1BD2" w:rsidRPr="00244B00">
        <w:rPr>
          <w:rFonts w:ascii="Garamond" w:eastAsia="Times New Roman" w:hAnsi="Garamond" w:cs="Arial"/>
        </w:rPr>
        <w:t xml:space="preserve"> </w:t>
      </w:r>
      <w:r w:rsidRPr="00244B00">
        <w:rPr>
          <w:rFonts w:ascii="Garamond" w:eastAsia="Times New Roman" w:hAnsi="Garamond" w:cs="Arial"/>
        </w:rPr>
        <w:t>criteria that meet health and well</w:t>
      </w:r>
      <w:r w:rsidR="003A70FD">
        <w:rPr>
          <w:rFonts w:ascii="Garamond" w:eastAsia="Times New Roman" w:hAnsi="Garamond" w:cs="Arial"/>
        </w:rPr>
        <w:t>ness</w:t>
      </w:r>
      <w:r w:rsidRPr="00244B00">
        <w:rPr>
          <w:rFonts w:ascii="Garamond" w:eastAsia="Times New Roman" w:hAnsi="Garamond" w:cs="Arial"/>
        </w:rPr>
        <w:t xml:space="preserve"> goals, design professionals, planners, and programmers </w:t>
      </w:r>
      <w:r w:rsidR="006E2F80">
        <w:rPr>
          <w:rFonts w:ascii="Garamond" w:eastAsia="Times New Roman" w:hAnsi="Garamond" w:cs="Arial"/>
        </w:rPr>
        <w:t xml:space="preserve">can </w:t>
      </w:r>
      <w:r w:rsidRPr="00244B00">
        <w:rPr>
          <w:rFonts w:ascii="Garamond" w:eastAsia="Times New Roman" w:hAnsi="Garamond" w:cs="Arial"/>
        </w:rPr>
        <w:t xml:space="preserve">incorporate features that support healthy behaviors as part of an overall design, including connections to </w:t>
      </w:r>
      <w:r w:rsidR="00BE12C7">
        <w:rPr>
          <w:rFonts w:ascii="Garamond" w:eastAsia="Times New Roman" w:hAnsi="Garamond" w:cs="Arial"/>
        </w:rPr>
        <w:t xml:space="preserve">the community at large, </w:t>
      </w:r>
      <w:r w:rsidR="007363AF">
        <w:rPr>
          <w:rFonts w:ascii="Garamond" w:eastAsia="Times New Roman" w:hAnsi="Garamond" w:cs="Arial"/>
        </w:rPr>
        <w:t xml:space="preserve">as well as to </w:t>
      </w:r>
      <w:r w:rsidRPr="00244B00">
        <w:rPr>
          <w:rFonts w:ascii="Garamond" w:eastAsia="Times New Roman" w:hAnsi="Garamond" w:cs="Arial"/>
        </w:rPr>
        <w:t xml:space="preserve">nature and restorative spaces. </w:t>
      </w:r>
      <w:r w:rsidR="006E2F80">
        <w:rPr>
          <w:rFonts w:ascii="Garamond" w:eastAsia="Times New Roman" w:hAnsi="Garamond" w:cs="Arial"/>
        </w:rPr>
        <w:t xml:space="preserve">Ultimately </w:t>
      </w:r>
      <w:r w:rsidR="006E2F80">
        <w:rPr>
          <w:rFonts w:ascii="Garamond" w:eastAsia="Times New Roman" w:hAnsi="Garamond" w:cs="Arial"/>
        </w:rPr>
        <w:lastRenderedPageBreak/>
        <w:t xml:space="preserve">improving </w:t>
      </w:r>
      <w:r w:rsidR="007E2B99">
        <w:rPr>
          <w:rFonts w:ascii="Garamond" w:eastAsia="Times New Roman" w:hAnsi="Garamond" w:cs="Arial"/>
        </w:rPr>
        <w:t xml:space="preserve">a </w:t>
      </w:r>
      <w:r w:rsidR="00DC634E">
        <w:rPr>
          <w:rFonts w:ascii="Garamond" w:eastAsia="Times New Roman" w:hAnsi="Garamond" w:cs="Arial"/>
        </w:rPr>
        <w:t>building</w:t>
      </w:r>
      <w:r w:rsidR="006E2F80">
        <w:rPr>
          <w:rFonts w:ascii="Garamond" w:eastAsia="Times New Roman" w:hAnsi="Garamond" w:cs="Arial"/>
        </w:rPr>
        <w:t xml:space="preserve"> design is likely to enhance </w:t>
      </w:r>
      <w:r w:rsidRPr="00244B00">
        <w:rPr>
          <w:rFonts w:ascii="Garamond" w:eastAsia="Times New Roman" w:hAnsi="Garamond" w:cs="Arial"/>
        </w:rPr>
        <w:t xml:space="preserve">performance and productivity </w:t>
      </w:r>
      <w:r w:rsidR="00632801">
        <w:rPr>
          <w:rFonts w:ascii="Garamond" w:eastAsia="Times New Roman" w:hAnsi="Garamond" w:cs="Arial"/>
        </w:rPr>
        <w:t>of building</w:t>
      </w:r>
      <w:r w:rsidR="007E2B99">
        <w:rPr>
          <w:rFonts w:ascii="Garamond" w:eastAsia="Times New Roman" w:hAnsi="Garamond" w:cs="Arial"/>
        </w:rPr>
        <w:t xml:space="preserve"> occupants</w:t>
      </w:r>
      <w:r w:rsidR="00262ABE">
        <w:rPr>
          <w:rFonts w:ascii="Garamond" w:eastAsia="Times New Roman" w:hAnsi="Garamond" w:cs="Arial"/>
        </w:rPr>
        <w:t>.</w:t>
      </w:r>
    </w:p>
    <w:p w14:paraId="1CCEEE96" w14:textId="49A3C2FD" w:rsidR="006E2F80" w:rsidRDefault="006E2F80" w:rsidP="0036131A">
      <w:pPr>
        <w:shd w:val="clear" w:color="auto" w:fill="FFFFFF"/>
        <w:rPr>
          <w:rFonts w:ascii="Garamond" w:eastAsia="Times New Roman" w:hAnsi="Garamond" w:cs="Arial"/>
        </w:rPr>
      </w:pPr>
    </w:p>
    <w:p w14:paraId="2A7C3D3A" w14:textId="4BC53189" w:rsidR="006E2F80" w:rsidRPr="00244B00" w:rsidRDefault="008E2F0B" w:rsidP="0036131A">
      <w:pPr>
        <w:shd w:val="clear" w:color="auto" w:fill="FFFFFF"/>
        <w:rPr>
          <w:rFonts w:ascii="Garamond" w:eastAsia="Times New Roman" w:hAnsi="Garamond" w:cs="Arial"/>
        </w:rPr>
      </w:pPr>
      <w:r>
        <w:rPr>
          <w:rFonts w:ascii="Garamond" w:eastAsia="Times New Roman" w:hAnsi="Garamond" w:cs="Arial"/>
        </w:rPr>
        <w:t>The following Sections of this Advice Letter</w:t>
      </w:r>
      <w:r w:rsidR="006E2F80">
        <w:rPr>
          <w:rFonts w:ascii="Garamond" w:eastAsia="Times New Roman" w:hAnsi="Garamond" w:cs="Arial"/>
        </w:rPr>
        <w:t xml:space="preserve"> outline the </w:t>
      </w:r>
      <w:r>
        <w:rPr>
          <w:rFonts w:ascii="Garamond" w:eastAsia="Times New Roman" w:hAnsi="Garamond" w:cs="Arial"/>
        </w:rPr>
        <w:t>P</w:t>
      </w:r>
      <w:r w:rsidR="006E2F80">
        <w:rPr>
          <w:rFonts w:ascii="Garamond" w:eastAsia="Times New Roman" w:hAnsi="Garamond" w:cs="Arial"/>
        </w:rPr>
        <w:t xml:space="preserve">urpose, </w:t>
      </w:r>
      <w:r>
        <w:rPr>
          <w:rFonts w:ascii="Garamond" w:eastAsia="Times New Roman" w:hAnsi="Garamond" w:cs="Arial"/>
        </w:rPr>
        <w:t>Goals &amp; Recommendations</w:t>
      </w:r>
      <w:r w:rsidR="006E2F80">
        <w:rPr>
          <w:rFonts w:ascii="Garamond" w:eastAsia="Times New Roman" w:hAnsi="Garamond" w:cs="Arial"/>
        </w:rPr>
        <w:t xml:space="preserve">, </w:t>
      </w:r>
      <w:r>
        <w:rPr>
          <w:rFonts w:ascii="Garamond" w:eastAsia="Times New Roman" w:hAnsi="Garamond" w:cs="Arial"/>
        </w:rPr>
        <w:t xml:space="preserve">Resources &amp; Tools – including the </w:t>
      </w:r>
      <w:r w:rsidR="00196F0B">
        <w:rPr>
          <w:rFonts w:ascii="Garamond" w:eastAsia="Times New Roman" w:hAnsi="Garamond" w:cs="Arial"/>
        </w:rPr>
        <w:t>Guidance Crosswalk</w:t>
      </w:r>
      <w:r>
        <w:rPr>
          <w:rFonts w:ascii="Garamond" w:eastAsia="Times New Roman" w:hAnsi="Garamond" w:cs="Arial"/>
        </w:rPr>
        <w:t xml:space="preserve"> – the Business Case, </w:t>
      </w:r>
      <w:r w:rsidR="006E2F80">
        <w:rPr>
          <w:rFonts w:ascii="Garamond" w:eastAsia="Times New Roman" w:hAnsi="Garamond" w:cs="Arial"/>
        </w:rPr>
        <w:t xml:space="preserve">and </w:t>
      </w:r>
      <w:r>
        <w:rPr>
          <w:rFonts w:ascii="Garamond" w:eastAsia="Times New Roman" w:hAnsi="Garamond" w:cs="Arial"/>
        </w:rPr>
        <w:t>Conclusions, plus Appendices</w:t>
      </w:r>
      <w:r w:rsidR="006E2F80">
        <w:rPr>
          <w:rFonts w:ascii="Garamond" w:eastAsia="Times New Roman" w:hAnsi="Garamond" w:cs="Arial"/>
        </w:rPr>
        <w:t xml:space="preserve">. </w:t>
      </w:r>
    </w:p>
    <w:p w14:paraId="425F0B4F" w14:textId="77777777" w:rsidR="0000432A" w:rsidRDefault="0000432A">
      <w:pPr>
        <w:rPr>
          <w:rFonts w:ascii="Garamond" w:hAnsi="Garamond"/>
          <w:color w:val="000000" w:themeColor="text1"/>
        </w:rPr>
      </w:pPr>
    </w:p>
    <w:p w14:paraId="3B43B94D" w14:textId="0D96C611" w:rsidR="003428FF" w:rsidRPr="005843FD" w:rsidRDefault="003428FF" w:rsidP="00A03DB7">
      <w:pPr>
        <w:pStyle w:val="Heading1"/>
      </w:pPr>
      <w:r w:rsidRPr="005843FD">
        <w:t xml:space="preserve">Section 1: Purpose of the </w:t>
      </w:r>
      <w:r w:rsidR="005843FD" w:rsidRPr="005843FD">
        <w:t>Health and Wellness</w:t>
      </w:r>
      <w:r w:rsidRPr="005843FD">
        <w:t xml:space="preserve"> Task Group</w:t>
      </w:r>
    </w:p>
    <w:p w14:paraId="30289EA8" w14:textId="77777777" w:rsidR="003428FF" w:rsidRDefault="003428FF">
      <w:pPr>
        <w:rPr>
          <w:rFonts w:ascii="Garamond" w:hAnsi="Garamond"/>
          <w:color w:val="000000" w:themeColor="text1"/>
        </w:rPr>
      </w:pPr>
    </w:p>
    <w:p w14:paraId="40537D51" w14:textId="0F9646B9" w:rsidR="00D925D9" w:rsidRPr="00FB1377" w:rsidRDefault="00D925D9">
      <w:pPr>
        <w:rPr>
          <w:rFonts w:ascii="Garamond" w:hAnsi="Garamond"/>
          <w:color w:val="000000" w:themeColor="text1"/>
        </w:rPr>
      </w:pPr>
      <w:r>
        <w:rPr>
          <w:rFonts w:ascii="Garamond" w:hAnsi="Garamond"/>
          <w:color w:val="000000" w:themeColor="text1"/>
        </w:rPr>
        <w:t xml:space="preserve">The Committee </w:t>
      </w:r>
      <w:r w:rsidR="006E2F80">
        <w:rPr>
          <w:rFonts w:ascii="Garamond" w:hAnsi="Garamond"/>
          <w:color w:val="000000" w:themeColor="text1"/>
        </w:rPr>
        <w:t>approved a motion</w:t>
      </w:r>
      <w:r w:rsidR="0036131A">
        <w:rPr>
          <w:rFonts w:ascii="Garamond" w:hAnsi="Garamond"/>
          <w:color w:val="000000" w:themeColor="text1"/>
        </w:rPr>
        <w:t xml:space="preserve"> </w:t>
      </w:r>
      <w:r w:rsidR="000A2C34">
        <w:rPr>
          <w:rFonts w:ascii="Garamond" w:hAnsi="Garamond"/>
          <w:color w:val="000000" w:themeColor="text1"/>
        </w:rPr>
        <w:t>at its November 17, 2016 meeting to “</w:t>
      </w:r>
      <w:r w:rsidR="000A2C34" w:rsidRPr="000A2C34">
        <w:rPr>
          <w:rFonts w:ascii="Garamond" w:hAnsi="Garamond"/>
          <w:color w:val="000000" w:themeColor="text1"/>
        </w:rPr>
        <w:t>Develop guidelines to integrate health and wellness features into all government facilities sustainability efforts, including programs such as Fitwel and biophilic design strategies</w:t>
      </w:r>
      <w:r w:rsidR="000A2C34">
        <w:rPr>
          <w:rFonts w:ascii="Garamond" w:hAnsi="Garamond"/>
          <w:color w:val="000000" w:themeColor="text1"/>
        </w:rPr>
        <w:t xml:space="preserve">”. In response, GSA established the Health and Wellness Task Group </w:t>
      </w:r>
      <w:r w:rsidR="00896C35">
        <w:rPr>
          <w:rFonts w:ascii="Garamond" w:hAnsi="Garamond"/>
          <w:color w:val="000000" w:themeColor="text1"/>
        </w:rPr>
        <w:t xml:space="preserve">(HW Task Group) </w:t>
      </w:r>
      <w:r>
        <w:rPr>
          <w:rFonts w:ascii="Garamond" w:hAnsi="Garamond"/>
          <w:color w:val="000000" w:themeColor="text1"/>
        </w:rPr>
        <w:t xml:space="preserve">to recommend </w:t>
      </w:r>
      <w:r w:rsidR="000A2C34">
        <w:rPr>
          <w:rFonts w:ascii="Garamond" w:hAnsi="Garamond"/>
          <w:color w:val="000000" w:themeColor="text1"/>
        </w:rPr>
        <w:t xml:space="preserve">to the Committee </w:t>
      </w:r>
      <w:r>
        <w:rPr>
          <w:rFonts w:ascii="Garamond" w:hAnsi="Garamond"/>
          <w:color w:val="000000" w:themeColor="text1"/>
        </w:rPr>
        <w:t xml:space="preserve">how the </w:t>
      </w:r>
      <w:r w:rsidR="007363AF">
        <w:rPr>
          <w:rFonts w:ascii="Garamond" w:hAnsi="Garamond"/>
          <w:color w:val="000000" w:themeColor="text1"/>
        </w:rPr>
        <w:t>Federal</w:t>
      </w:r>
      <w:r>
        <w:rPr>
          <w:rFonts w:ascii="Garamond" w:hAnsi="Garamond"/>
          <w:color w:val="000000" w:themeColor="text1"/>
        </w:rPr>
        <w:t xml:space="preserve"> government can </w:t>
      </w:r>
      <w:r w:rsidRPr="0022192F">
        <w:rPr>
          <w:rFonts w:ascii="Garamond" w:hAnsi="Garamond"/>
          <w:color w:val="000000" w:themeColor="text1"/>
        </w:rPr>
        <w:t>strengthen its approach</w:t>
      </w:r>
      <w:r>
        <w:rPr>
          <w:rFonts w:ascii="Garamond" w:hAnsi="Garamond"/>
          <w:color w:val="000000" w:themeColor="text1"/>
        </w:rPr>
        <w:t xml:space="preserve"> to health and wellness across its existing building portfolio. </w:t>
      </w:r>
      <w:r w:rsidRPr="0022192F">
        <w:rPr>
          <w:rFonts w:ascii="Garamond" w:hAnsi="Garamond"/>
          <w:color w:val="000000" w:themeColor="text1"/>
        </w:rPr>
        <w:t xml:space="preserve">The recommendations outlined in this document </w:t>
      </w:r>
      <w:r w:rsidR="00B86DCB" w:rsidRPr="0022192F">
        <w:rPr>
          <w:rFonts w:ascii="Garamond" w:hAnsi="Garamond"/>
          <w:color w:val="000000" w:themeColor="text1"/>
        </w:rPr>
        <w:t>were</w:t>
      </w:r>
      <w:r w:rsidRPr="0022192F">
        <w:rPr>
          <w:rFonts w:ascii="Garamond" w:hAnsi="Garamond"/>
          <w:color w:val="000000" w:themeColor="text1"/>
        </w:rPr>
        <w:t xml:space="preserve"> presented by the </w:t>
      </w:r>
      <w:r w:rsidR="008E2F0B">
        <w:rPr>
          <w:rFonts w:ascii="Garamond" w:hAnsi="Garamond"/>
          <w:color w:val="000000" w:themeColor="text1"/>
        </w:rPr>
        <w:t>Task Group</w:t>
      </w:r>
      <w:r w:rsidRPr="0022192F">
        <w:rPr>
          <w:rFonts w:ascii="Garamond" w:hAnsi="Garamond"/>
          <w:color w:val="000000" w:themeColor="text1"/>
        </w:rPr>
        <w:t xml:space="preserve"> to the </w:t>
      </w:r>
      <w:r w:rsidR="006F15AC" w:rsidRPr="0022192F">
        <w:rPr>
          <w:rFonts w:ascii="Garamond" w:hAnsi="Garamond"/>
          <w:color w:val="000000" w:themeColor="text1"/>
        </w:rPr>
        <w:t>Committee</w:t>
      </w:r>
      <w:r w:rsidR="005D3996">
        <w:rPr>
          <w:rFonts w:ascii="Garamond" w:hAnsi="Garamond"/>
          <w:color w:val="000000" w:themeColor="text1"/>
        </w:rPr>
        <w:t>, and accepted by the Committee for delivery to GSA,</w:t>
      </w:r>
      <w:r w:rsidRPr="0022192F">
        <w:rPr>
          <w:rFonts w:ascii="Garamond" w:hAnsi="Garamond"/>
          <w:color w:val="000000" w:themeColor="text1"/>
        </w:rPr>
        <w:t xml:space="preserve"> on October 24, 2017</w:t>
      </w:r>
      <w:r w:rsidR="00FB1377" w:rsidRPr="0022192F">
        <w:rPr>
          <w:rFonts w:ascii="Garamond" w:hAnsi="Garamond"/>
          <w:color w:val="000000" w:themeColor="text1"/>
        </w:rPr>
        <w:t>.</w:t>
      </w:r>
    </w:p>
    <w:p w14:paraId="0D550D2B" w14:textId="1BCCBD77" w:rsidR="00AD3DB2" w:rsidRPr="00FB1377" w:rsidRDefault="00AD3DB2">
      <w:pPr>
        <w:rPr>
          <w:rFonts w:ascii="Garamond" w:hAnsi="Garamond"/>
          <w:color w:val="000000" w:themeColor="text1"/>
        </w:rPr>
      </w:pPr>
    </w:p>
    <w:p w14:paraId="188D40D8" w14:textId="5A9EF772" w:rsidR="00AD3DB2" w:rsidRPr="00FB1377" w:rsidRDefault="006B7AFE">
      <w:pPr>
        <w:rPr>
          <w:rFonts w:ascii="Garamond" w:hAnsi="Garamond"/>
          <w:color w:val="000000" w:themeColor="text1"/>
        </w:rPr>
      </w:pPr>
      <w:r w:rsidRPr="00FB1377">
        <w:rPr>
          <w:rFonts w:ascii="Garamond" w:hAnsi="Garamond"/>
          <w:color w:val="000000" w:themeColor="text1"/>
        </w:rPr>
        <w:t xml:space="preserve">The HW </w:t>
      </w:r>
      <w:r w:rsidR="00AB05A2">
        <w:rPr>
          <w:rFonts w:ascii="Garamond" w:hAnsi="Garamond"/>
          <w:color w:val="000000" w:themeColor="text1"/>
        </w:rPr>
        <w:t>T</w:t>
      </w:r>
      <w:r w:rsidRPr="00FB1377">
        <w:rPr>
          <w:rFonts w:ascii="Garamond" w:hAnsi="Garamond"/>
          <w:color w:val="000000" w:themeColor="text1"/>
        </w:rPr>
        <w:t xml:space="preserve">ask </w:t>
      </w:r>
      <w:r w:rsidR="00AB05A2">
        <w:rPr>
          <w:rFonts w:ascii="Garamond" w:hAnsi="Garamond"/>
          <w:color w:val="000000" w:themeColor="text1"/>
        </w:rPr>
        <w:t>G</w:t>
      </w:r>
      <w:r w:rsidRPr="00FB1377">
        <w:rPr>
          <w:rFonts w:ascii="Garamond" w:hAnsi="Garamond"/>
          <w:color w:val="000000" w:themeColor="text1"/>
        </w:rPr>
        <w:t xml:space="preserve">roup </w:t>
      </w:r>
      <w:r w:rsidR="00BE1BD2">
        <w:rPr>
          <w:rFonts w:ascii="Garamond" w:hAnsi="Garamond"/>
          <w:color w:val="000000" w:themeColor="text1"/>
        </w:rPr>
        <w:t>used</w:t>
      </w:r>
      <w:r w:rsidR="00BE1BD2" w:rsidRPr="00FB1377">
        <w:rPr>
          <w:rFonts w:ascii="Garamond" w:hAnsi="Garamond"/>
          <w:color w:val="000000" w:themeColor="text1"/>
        </w:rPr>
        <w:t xml:space="preserve"> </w:t>
      </w:r>
      <w:r w:rsidRPr="00FB1377">
        <w:rPr>
          <w:rFonts w:ascii="Garamond" w:hAnsi="Garamond"/>
          <w:color w:val="000000" w:themeColor="text1"/>
        </w:rPr>
        <w:t>t</w:t>
      </w:r>
      <w:r w:rsidR="008E2F0B">
        <w:rPr>
          <w:rFonts w:ascii="Garamond" w:hAnsi="Garamond"/>
          <w:color w:val="000000" w:themeColor="text1"/>
        </w:rPr>
        <w:t>he World Health Organization</w:t>
      </w:r>
      <w:r w:rsidR="00AD3DB2" w:rsidRPr="00FB1377">
        <w:rPr>
          <w:rFonts w:ascii="Garamond" w:hAnsi="Garamond"/>
          <w:color w:val="000000" w:themeColor="text1"/>
        </w:rPr>
        <w:t xml:space="preserve"> (WHO) definition of Health and Wellness </w:t>
      </w:r>
      <w:r w:rsidR="00BE12C7" w:rsidRPr="00FB1377">
        <w:rPr>
          <w:rFonts w:ascii="Garamond" w:hAnsi="Garamond"/>
          <w:color w:val="000000" w:themeColor="text1"/>
        </w:rPr>
        <w:t>as a starting point</w:t>
      </w:r>
      <w:r w:rsidRPr="00FB1377">
        <w:rPr>
          <w:rFonts w:ascii="Garamond" w:hAnsi="Garamond"/>
          <w:color w:val="000000" w:themeColor="text1"/>
        </w:rPr>
        <w:t>:</w:t>
      </w:r>
      <w:r w:rsidR="00AD3DB2" w:rsidRPr="00FB1377">
        <w:rPr>
          <w:rFonts w:ascii="Garamond" w:hAnsi="Garamond"/>
          <w:color w:val="000000" w:themeColor="text1"/>
        </w:rPr>
        <w:t xml:space="preserve"> “Health is a state of complete physical, mental and social well-being and not merely the absence of disease or infirmity.  Wellness is an active process of becoming aware of and making choices toward a more successful existence.”</w:t>
      </w:r>
    </w:p>
    <w:p w14:paraId="017BCC2C" w14:textId="77777777" w:rsidR="00AD3DB2" w:rsidRDefault="00AD3DB2">
      <w:pPr>
        <w:rPr>
          <w:rFonts w:ascii="Garamond" w:hAnsi="Garamond"/>
          <w:color w:val="FF0000"/>
        </w:rPr>
      </w:pPr>
    </w:p>
    <w:p w14:paraId="442DB3A8" w14:textId="4AD7C24A" w:rsidR="0039106B" w:rsidRDefault="00842C0D" w:rsidP="0036131A">
      <w:pPr>
        <w:rPr>
          <w:rFonts w:ascii="Garamond" w:hAnsi="Garamond"/>
          <w:color w:val="000000" w:themeColor="text1"/>
        </w:rPr>
      </w:pPr>
      <w:r>
        <w:rPr>
          <w:rFonts w:ascii="Garamond" w:hAnsi="Garamond"/>
          <w:color w:val="000000" w:themeColor="text1"/>
        </w:rPr>
        <w:t xml:space="preserve">The </w:t>
      </w:r>
      <w:r w:rsidR="006F15AC">
        <w:rPr>
          <w:rFonts w:ascii="Garamond" w:hAnsi="Garamond"/>
          <w:color w:val="000000" w:themeColor="text1"/>
        </w:rPr>
        <w:t>Committee</w:t>
      </w:r>
      <w:r w:rsidR="0061362B">
        <w:rPr>
          <w:rFonts w:ascii="Garamond" w:hAnsi="Garamond"/>
          <w:color w:val="000000" w:themeColor="text1"/>
        </w:rPr>
        <w:t xml:space="preserve"> and </w:t>
      </w:r>
      <w:r w:rsidRPr="00AB05A2">
        <w:rPr>
          <w:rFonts w:ascii="Garamond" w:hAnsi="Garamond"/>
          <w:color w:val="000000" w:themeColor="text1"/>
        </w:rPr>
        <w:t xml:space="preserve">HW </w:t>
      </w:r>
      <w:r w:rsidR="00AB05A2" w:rsidRPr="00AB05A2">
        <w:rPr>
          <w:rFonts w:ascii="Garamond" w:hAnsi="Garamond"/>
          <w:color w:val="000000" w:themeColor="text1"/>
        </w:rPr>
        <w:t>T</w:t>
      </w:r>
      <w:r w:rsidRPr="00AB05A2">
        <w:rPr>
          <w:rFonts w:ascii="Garamond" w:hAnsi="Garamond"/>
          <w:color w:val="000000" w:themeColor="text1"/>
        </w:rPr>
        <w:t xml:space="preserve">ask </w:t>
      </w:r>
      <w:r w:rsidR="00AB05A2" w:rsidRPr="00AB05A2">
        <w:rPr>
          <w:rFonts w:ascii="Garamond" w:hAnsi="Garamond"/>
          <w:color w:val="000000" w:themeColor="text1"/>
        </w:rPr>
        <w:t>G</w:t>
      </w:r>
      <w:r w:rsidRPr="00AB05A2">
        <w:rPr>
          <w:rFonts w:ascii="Garamond" w:hAnsi="Garamond"/>
          <w:color w:val="000000" w:themeColor="text1"/>
        </w:rPr>
        <w:t>roup</w:t>
      </w:r>
      <w:r>
        <w:rPr>
          <w:rFonts w:ascii="Garamond" w:hAnsi="Garamond"/>
          <w:color w:val="000000" w:themeColor="text1"/>
        </w:rPr>
        <w:t xml:space="preserve"> recommend that the GSA and the </w:t>
      </w:r>
      <w:r w:rsidR="00BE12C7">
        <w:rPr>
          <w:rFonts w:ascii="Garamond" w:hAnsi="Garamond"/>
          <w:color w:val="000000" w:themeColor="text1"/>
        </w:rPr>
        <w:t>F</w:t>
      </w:r>
      <w:r>
        <w:rPr>
          <w:rFonts w:ascii="Garamond" w:hAnsi="Garamond"/>
          <w:color w:val="000000" w:themeColor="text1"/>
        </w:rPr>
        <w:t>ederal government take a leadership role in supporting health and wellness in the workplace by committing to the implementation of these</w:t>
      </w:r>
      <w:r w:rsidR="00E57D5B">
        <w:rPr>
          <w:rFonts w:ascii="Garamond" w:hAnsi="Garamond"/>
          <w:color w:val="000000" w:themeColor="text1"/>
        </w:rPr>
        <w:t xml:space="preserve"> recommendations for Federal facilities</w:t>
      </w:r>
      <w:r w:rsidR="00BE1BD2">
        <w:rPr>
          <w:rFonts w:ascii="Garamond" w:hAnsi="Garamond"/>
          <w:color w:val="000000" w:themeColor="text1"/>
        </w:rPr>
        <w:t xml:space="preserve"> in </w:t>
      </w:r>
      <w:r w:rsidR="00E57D5B">
        <w:rPr>
          <w:rFonts w:ascii="Garamond" w:hAnsi="Garamond"/>
          <w:color w:val="000000" w:themeColor="text1"/>
        </w:rPr>
        <w:t>support</w:t>
      </w:r>
      <w:r w:rsidR="00BE1BD2">
        <w:rPr>
          <w:rFonts w:ascii="Garamond" w:hAnsi="Garamond"/>
          <w:color w:val="000000" w:themeColor="text1"/>
        </w:rPr>
        <w:t xml:space="preserve"> of</w:t>
      </w:r>
      <w:r w:rsidR="00E57D5B">
        <w:rPr>
          <w:rFonts w:ascii="Garamond" w:hAnsi="Garamond"/>
          <w:color w:val="000000" w:themeColor="text1"/>
        </w:rPr>
        <w:t xml:space="preserve"> the health and wellness goals outlined in the Guiding Principles for Sustainable Federal Buildings</w:t>
      </w:r>
      <w:r w:rsidR="00632801">
        <w:rPr>
          <w:rFonts w:ascii="Garamond" w:hAnsi="Garamond"/>
          <w:color w:val="000000" w:themeColor="text1"/>
        </w:rPr>
        <w:t>,</w:t>
      </w:r>
      <w:r w:rsidR="00E57D5B">
        <w:rPr>
          <w:rFonts w:ascii="Garamond" w:hAnsi="Garamond"/>
          <w:color w:val="000000" w:themeColor="text1"/>
        </w:rPr>
        <w:t xml:space="preserve"> </w:t>
      </w:r>
      <w:r w:rsidR="005D3996">
        <w:rPr>
          <w:rFonts w:ascii="Garamond" w:hAnsi="Garamond"/>
          <w:color w:val="000000" w:themeColor="text1"/>
        </w:rPr>
        <w:t xml:space="preserve">especially </w:t>
      </w:r>
      <w:r w:rsidR="00170A30">
        <w:rPr>
          <w:rFonts w:ascii="Garamond" w:hAnsi="Garamond"/>
          <w:color w:val="000000" w:themeColor="text1"/>
        </w:rPr>
        <w:t>for existing buildings</w:t>
      </w:r>
      <w:r w:rsidR="00834DA7">
        <w:rPr>
          <w:rFonts w:ascii="Garamond" w:hAnsi="Garamond"/>
          <w:color w:val="000000" w:themeColor="text1"/>
        </w:rPr>
        <w:t>.</w:t>
      </w:r>
      <w:r w:rsidR="00E57D5B">
        <w:rPr>
          <w:rFonts w:ascii="Garamond" w:hAnsi="Garamond"/>
          <w:color w:val="000000" w:themeColor="text1"/>
        </w:rPr>
        <w:t xml:space="preserve"> </w:t>
      </w:r>
      <w:r w:rsidR="00D04ABB">
        <w:rPr>
          <w:rFonts w:ascii="Garamond" w:hAnsi="Garamond"/>
          <w:color w:val="000000" w:themeColor="text1"/>
        </w:rPr>
        <w:t xml:space="preserve">Although </w:t>
      </w:r>
      <w:r w:rsidR="0021738A">
        <w:rPr>
          <w:rFonts w:ascii="Garamond" w:hAnsi="Garamond"/>
          <w:color w:val="000000" w:themeColor="text1"/>
        </w:rPr>
        <w:t xml:space="preserve">the recommended changes </w:t>
      </w:r>
      <w:r w:rsidR="0036131A">
        <w:rPr>
          <w:rFonts w:ascii="Garamond" w:hAnsi="Garamond"/>
          <w:color w:val="000000" w:themeColor="text1"/>
        </w:rPr>
        <w:t>cannot</w:t>
      </w:r>
      <w:r>
        <w:rPr>
          <w:rFonts w:ascii="Garamond" w:hAnsi="Garamond"/>
          <w:color w:val="000000" w:themeColor="text1"/>
        </w:rPr>
        <w:t xml:space="preserve"> guarantee </w:t>
      </w:r>
      <w:r w:rsidR="00D04ABB">
        <w:rPr>
          <w:rFonts w:ascii="Garamond" w:hAnsi="Garamond"/>
          <w:color w:val="000000" w:themeColor="text1"/>
        </w:rPr>
        <w:t xml:space="preserve">specific improvements in health conditions </w:t>
      </w:r>
      <w:r>
        <w:rPr>
          <w:rFonts w:ascii="Garamond" w:hAnsi="Garamond"/>
          <w:color w:val="000000" w:themeColor="text1"/>
        </w:rPr>
        <w:t xml:space="preserve">and productivity, </w:t>
      </w:r>
      <w:r w:rsidR="00D04ABB">
        <w:rPr>
          <w:rFonts w:ascii="Garamond" w:hAnsi="Garamond"/>
          <w:color w:val="000000" w:themeColor="text1"/>
        </w:rPr>
        <w:t xml:space="preserve">a supportive built environment </w:t>
      </w:r>
      <w:r w:rsidR="00385CD6">
        <w:rPr>
          <w:rFonts w:ascii="Garamond" w:hAnsi="Garamond"/>
          <w:color w:val="000000" w:themeColor="text1"/>
        </w:rPr>
        <w:t xml:space="preserve">enhances health and wellness while creating </w:t>
      </w:r>
      <w:r>
        <w:rPr>
          <w:rFonts w:ascii="Garamond" w:hAnsi="Garamond"/>
          <w:color w:val="000000" w:themeColor="text1"/>
        </w:rPr>
        <w:t xml:space="preserve">opportunities for </w:t>
      </w:r>
      <w:r w:rsidR="006B7AFE">
        <w:rPr>
          <w:rFonts w:ascii="Garamond" w:hAnsi="Garamond"/>
          <w:color w:val="000000" w:themeColor="text1"/>
        </w:rPr>
        <w:t xml:space="preserve">employees to make </w:t>
      </w:r>
      <w:r>
        <w:rPr>
          <w:rFonts w:ascii="Garamond" w:hAnsi="Garamond"/>
          <w:color w:val="000000" w:themeColor="text1"/>
        </w:rPr>
        <w:t>healthier choices</w:t>
      </w:r>
      <w:r w:rsidR="006B7AFE">
        <w:rPr>
          <w:rFonts w:ascii="Garamond" w:hAnsi="Garamond"/>
          <w:color w:val="000000" w:themeColor="text1"/>
        </w:rPr>
        <w:t xml:space="preserve">. </w:t>
      </w:r>
      <w:r w:rsidR="0036131A">
        <w:rPr>
          <w:rFonts w:ascii="Garamond" w:hAnsi="Garamond"/>
          <w:color w:val="000000" w:themeColor="text1"/>
        </w:rPr>
        <w:t xml:space="preserve"> </w:t>
      </w:r>
      <w:r w:rsidR="00385CD6">
        <w:rPr>
          <w:rFonts w:ascii="Garamond" w:hAnsi="Garamond"/>
          <w:color w:val="000000" w:themeColor="text1"/>
        </w:rPr>
        <w:t>These</w:t>
      </w:r>
      <w:r w:rsidR="00DC634E">
        <w:rPr>
          <w:rFonts w:ascii="Garamond" w:hAnsi="Garamond"/>
          <w:color w:val="000000" w:themeColor="text1"/>
        </w:rPr>
        <w:t xml:space="preserve"> </w:t>
      </w:r>
      <w:r w:rsidR="00CF7812">
        <w:rPr>
          <w:rFonts w:ascii="Garamond" w:hAnsi="Garamond"/>
          <w:color w:val="000000" w:themeColor="text1"/>
        </w:rPr>
        <w:t>practices</w:t>
      </w:r>
      <w:r w:rsidR="00474CDF">
        <w:rPr>
          <w:rFonts w:ascii="Garamond" w:hAnsi="Garamond"/>
          <w:color w:val="000000" w:themeColor="text1"/>
        </w:rPr>
        <w:t xml:space="preserve"> </w:t>
      </w:r>
      <w:r w:rsidR="00385CD6">
        <w:rPr>
          <w:rFonts w:ascii="Garamond" w:hAnsi="Garamond"/>
          <w:color w:val="000000" w:themeColor="text1"/>
        </w:rPr>
        <w:t xml:space="preserve">can </w:t>
      </w:r>
      <w:r w:rsidR="0036131A">
        <w:rPr>
          <w:rFonts w:ascii="Garamond" w:hAnsi="Garamond"/>
          <w:color w:val="000000" w:themeColor="text1"/>
        </w:rPr>
        <w:t xml:space="preserve">promote improved cognitive function, </w:t>
      </w:r>
      <w:r w:rsidR="006B7AFE">
        <w:rPr>
          <w:rFonts w:ascii="Garamond" w:hAnsi="Garamond"/>
          <w:color w:val="000000" w:themeColor="text1"/>
        </w:rPr>
        <w:t xml:space="preserve">staff satisfaction, improvement of health conditions, </w:t>
      </w:r>
      <w:r w:rsidR="00EB65D6">
        <w:rPr>
          <w:rFonts w:ascii="Garamond" w:hAnsi="Garamond"/>
          <w:color w:val="000000" w:themeColor="text1"/>
        </w:rPr>
        <w:t xml:space="preserve">reduction of </w:t>
      </w:r>
      <w:r w:rsidR="0036131A">
        <w:rPr>
          <w:rFonts w:ascii="Garamond" w:hAnsi="Garamond"/>
          <w:color w:val="000000" w:themeColor="text1"/>
        </w:rPr>
        <w:t>health care costs, reduction of absenteeism and presenteeism</w:t>
      </w:r>
      <w:r w:rsidR="001A0310">
        <w:rPr>
          <w:rStyle w:val="FootnoteReference"/>
          <w:rFonts w:ascii="Garamond" w:hAnsi="Garamond"/>
          <w:color w:val="000000" w:themeColor="text1"/>
        </w:rPr>
        <w:footnoteReference w:id="2"/>
      </w:r>
      <w:r w:rsidR="0036131A">
        <w:rPr>
          <w:rFonts w:ascii="Garamond" w:hAnsi="Garamond"/>
          <w:color w:val="000000" w:themeColor="text1"/>
        </w:rPr>
        <w:t xml:space="preserve">, and taxpayer </w:t>
      </w:r>
      <w:r w:rsidR="00D04ABB">
        <w:rPr>
          <w:rFonts w:ascii="Garamond" w:hAnsi="Garamond"/>
          <w:color w:val="000000" w:themeColor="text1"/>
        </w:rPr>
        <w:t>savings</w:t>
      </w:r>
      <w:r w:rsidR="0036131A">
        <w:rPr>
          <w:rFonts w:ascii="Garamond" w:hAnsi="Garamond"/>
          <w:color w:val="000000" w:themeColor="text1"/>
        </w:rPr>
        <w:t>.</w:t>
      </w:r>
    </w:p>
    <w:p w14:paraId="35234357" w14:textId="3C8A3BBB" w:rsidR="005843FD" w:rsidRDefault="005843FD">
      <w:pPr>
        <w:rPr>
          <w:rFonts w:ascii="Garamond" w:hAnsi="Garamond"/>
          <w:color w:val="000000" w:themeColor="text1"/>
        </w:rPr>
      </w:pPr>
    </w:p>
    <w:p w14:paraId="52B9442A" w14:textId="5CFA1750" w:rsidR="00C16963" w:rsidRPr="005843FD" w:rsidRDefault="00C16963" w:rsidP="00A03DB7">
      <w:pPr>
        <w:pStyle w:val="Heading1"/>
      </w:pPr>
      <w:r>
        <w:t>Section 2</w:t>
      </w:r>
      <w:r w:rsidRPr="005843FD">
        <w:t>: Goals and Recommendations for GSA</w:t>
      </w:r>
      <w:r>
        <w:t xml:space="preserve"> and </w:t>
      </w:r>
      <w:r w:rsidRPr="005843FD">
        <w:t>Federal Agencies</w:t>
      </w:r>
      <w:r>
        <w:t>.</w:t>
      </w:r>
    </w:p>
    <w:p w14:paraId="2878D5CD" w14:textId="77777777" w:rsidR="00C16963" w:rsidRDefault="00C16963" w:rsidP="00C16963">
      <w:pPr>
        <w:rPr>
          <w:rFonts w:ascii="Garamond" w:hAnsi="Garamond"/>
          <w:color w:val="000000" w:themeColor="text1"/>
        </w:rPr>
      </w:pPr>
    </w:p>
    <w:p w14:paraId="3EAEEB72" w14:textId="6ECC857D" w:rsidR="00C16963" w:rsidRDefault="00C16963" w:rsidP="00C16963">
      <w:pPr>
        <w:rPr>
          <w:rFonts w:ascii="Garamond" w:hAnsi="Garamond"/>
          <w:color w:val="000000" w:themeColor="text1"/>
        </w:rPr>
      </w:pPr>
      <w:r>
        <w:rPr>
          <w:rFonts w:ascii="Garamond" w:hAnsi="Garamond"/>
          <w:color w:val="000000" w:themeColor="text1"/>
        </w:rPr>
        <w:t xml:space="preserve">The overarching goal recommended by the </w:t>
      </w:r>
      <w:r w:rsidR="006F15AC">
        <w:rPr>
          <w:rFonts w:ascii="Garamond" w:hAnsi="Garamond"/>
          <w:color w:val="000000" w:themeColor="text1"/>
        </w:rPr>
        <w:t>Committee</w:t>
      </w:r>
      <w:r>
        <w:rPr>
          <w:rFonts w:ascii="Garamond" w:hAnsi="Garamond"/>
          <w:color w:val="000000" w:themeColor="text1"/>
        </w:rPr>
        <w:t xml:space="preserve"> is to </w:t>
      </w:r>
      <w:r w:rsidRPr="0000432A">
        <w:rPr>
          <w:rFonts w:ascii="Garamond" w:hAnsi="Garamond"/>
          <w:b/>
          <w:color w:val="000000" w:themeColor="text1"/>
        </w:rPr>
        <w:t xml:space="preserve">integrate </w:t>
      </w:r>
      <w:r w:rsidR="00B86DCB">
        <w:rPr>
          <w:rFonts w:ascii="Garamond" w:hAnsi="Garamond"/>
          <w:b/>
          <w:color w:val="000000" w:themeColor="text1"/>
        </w:rPr>
        <w:t>additional</w:t>
      </w:r>
      <w:r w:rsidRPr="0000432A">
        <w:rPr>
          <w:rFonts w:ascii="Garamond" w:hAnsi="Garamond"/>
          <w:b/>
          <w:color w:val="000000" w:themeColor="text1"/>
        </w:rPr>
        <w:t xml:space="preserve"> hea</w:t>
      </w:r>
      <w:r>
        <w:rPr>
          <w:rFonts w:ascii="Garamond" w:hAnsi="Garamond"/>
          <w:b/>
          <w:color w:val="000000" w:themeColor="text1"/>
        </w:rPr>
        <w:t xml:space="preserve">lth and wellness criteria in </w:t>
      </w:r>
      <w:r w:rsidR="00E755FC">
        <w:rPr>
          <w:rFonts w:ascii="Garamond" w:hAnsi="Garamond"/>
          <w:b/>
          <w:color w:val="000000" w:themeColor="text1"/>
        </w:rPr>
        <w:t>all</w:t>
      </w:r>
      <w:r w:rsidR="00D71B2E">
        <w:rPr>
          <w:rFonts w:ascii="Garamond" w:hAnsi="Garamond"/>
          <w:b/>
          <w:color w:val="000000" w:themeColor="text1"/>
        </w:rPr>
        <w:t xml:space="preserve"> </w:t>
      </w:r>
      <w:r>
        <w:rPr>
          <w:rFonts w:ascii="Garamond" w:hAnsi="Garamond"/>
          <w:b/>
          <w:color w:val="000000" w:themeColor="text1"/>
        </w:rPr>
        <w:t xml:space="preserve">aspects </w:t>
      </w:r>
      <w:r w:rsidRPr="0000432A">
        <w:rPr>
          <w:rFonts w:ascii="Garamond" w:hAnsi="Garamond"/>
          <w:b/>
          <w:color w:val="000000" w:themeColor="text1"/>
        </w:rPr>
        <w:t xml:space="preserve">of the design, </w:t>
      </w:r>
      <w:r w:rsidR="004A3A87">
        <w:rPr>
          <w:rFonts w:ascii="Garamond" w:hAnsi="Garamond"/>
          <w:b/>
          <w:color w:val="000000" w:themeColor="text1"/>
        </w:rPr>
        <w:t>construction</w:t>
      </w:r>
      <w:r>
        <w:rPr>
          <w:rFonts w:ascii="Garamond" w:hAnsi="Garamond"/>
          <w:b/>
          <w:color w:val="000000" w:themeColor="text1"/>
        </w:rPr>
        <w:t xml:space="preserve">, </w:t>
      </w:r>
      <w:r w:rsidRPr="0000432A">
        <w:rPr>
          <w:rFonts w:ascii="Garamond" w:hAnsi="Garamond"/>
          <w:b/>
          <w:color w:val="000000" w:themeColor="text1"/>
        </w:rPr>
        <w:t xml:space="preserve">and operation of </w:t>
      </w:r>
      <w:r w:rsidR="007363AF">
        <w:rPr>
          <w:rFonts w:ascii="Garamond" w:hAnsi="Garamond"/>
          <w:b/>
          <w:color w:val="000000" w:themeColor="text1"/>
        </w:rPr>
        <w:t>Federal</w:t>
      </w:r>
      <w:r w:rsidRPr="0000432A">
        <w:rPr>
          <w:rFonts w:ascii="Garamond" w:hAnsi="Garamond"/>
          <w:b/>
          <w:color w:val="000000" w:themeColor="text1"/>
        </w:rPr>
        <w:t xml:space="preserve"> buildings</w:t>
      </w:r>
      <w:r w:rsidR="008605D1">
        <w:rPr>
          <w:rFonts w:ascii="Garamond" w:hAnsi="Garamond"/>
          <w:b/>
          <w:color w:val="000000" w:themeColor="text1"/>
        </w:rPr>
        <w:t>, where feasible</w:t>
      </w:r>
      <w:r>
        <w:rPr>
          <w:rFonts w:ascii="Garamond" w:hAnsi="Garamond"/>
          <w:color w:val="000000" w:themeColor="text1"/>
        </w:rPr>
        <w:t xml:space="preserve">. </w:t>
      </w:r>
      <w:r w:rsidR="00FD20A9">
        <w:rPr>
          <w:rFonts w:ascii="Garamond" w:hAnsi="Garamond"/>
          <w:color w:val="000000" w:themeColor="text1"/>
        </w:rPr>
        <w:t xml:space="preserve">This can be achieved </w:t>
      </w:r>
      <w:r w:rsidR="00474CDF">
        <w:rPr>
          <w:rFonts w:ascii="Garamond" w:hAnsi="Garamond"/>
          <w:color w:val="000000" w:themeColor="text1"/>
        </w:rPr>
        <w:t xml:space="preserve">by </w:t>
      </w:r>
      <w:r w:rsidR="00FD20A9">
        <w:rPr>
          <w:rFonts w:ascii="Garamond" w:hAnsi="Garamond"/>
          <w:color w:val="000000" w:themeColor="text1"/>
        </w:rPr>
        <w:t xml:space="preserve">identifying health and wellness considerations in the initial programming phase of all projects – raising awareness by requiring health and wellness characteristics to be part of all projects. </w:t>
      </w:r>
      <w:r w:rsidR="00262940">
        <w:rPr>
          <w:rFonts w:ascii="Garamond" w:hAnsi="Garamond"/>
          <w:color w:val="000000" w:themeColor="text1"/>
        </w:rPr>
        <w:t xml:space="preserve"> </w:t>
      </w:r>
      <w:r w:rsidR="00FD20A9">
        <w:rPr>
          <w:rFonts w:ascii="Garamond" w:hAnsi="Garamond"/>
          <w:color w:val="000000" w:themeColor="text1"/>
        </w:rPr>
        <w:t>The utilization of various existing tools</w:t>
      </w:r>
      <w:r w:rsidR="003302CC">
        <w:rPr>
          <w:rFonts w:ascii="Garamond" w:hAnsi="Garamond"/>
          <w:color w:val="000000" w:themeColor="text1"/>
        </w:rPr>
        <w:t xml:space="preserve"> and</w:t>
      </w:r>
      <w:r w:rsidR="00FD20A9">
        <w:rPr>
          <w:rFonts w:ascii="Garamond" w:hAnsi="Garamond"/>
          <w:color w:val="000000" w:themeColor="text1"/>
        </w:rPr>
        <w:t xml:space="preserve"> expanded Federal guidance </w:t>
      </w:r>
      <w:r w:rsidR="003302CC">
        <w:rPr>
          <w:rFonts w:ascii="Garamond" w:hAnsi="Garamond"/>
          <w:color w:val="000000" w:themeColor="text1"/>
        </w:rPr>
        <w:t xml:space="preserve">provides design teams </w:t>
      </w:r>
      <w:r w:rsidR="00474CDF">
        <w:rPr>
          <w:rFonts w:ascii="Garamond" w:hAnsi="Garamond"/>
          <w:color w:val="000000" w:themeColor="text1"/>
        </w:rPr>
        <w:t>with</w:t>
      </w:r>
      <w:r w:rsidR="00262940">
        <w:rPr>
          <w:rFonts w:ascii="Garamond" w:hAnsi="Garamond"/>
          <w:color w:val="000000" w:themeColor="text1"/>
        </w:rPr>
        <w:t xml:space="preserve"> strategies </w:t>
      </w:r>
      <w:r w:rsidR="003302CC">
        <w:rPr>
          <w:rFonts w:ascii="Garamond" w:hAnsi="Garamond"/>
          <w:color w:val="000000" w:themeColor="text1"/>
        </w:rPr>
        <w:t>for including health and wellness design features in the built environment</w:t>
      </w:r>
      <w:r w:rsidR="00CE3D56">
        <w:rPr>
          <w:rFonts w:ascii="Garamond" w:hAnsi="Garamond"/>
          <w:color w:val="000000" w:themeColor="text1"/>
        </w:rPr>
        <w:t>.</w:t>
      </w:r>
      <w:r w:rsidR="008376EC">
        <w:rPr>
          <w:rFonts w:ascii="Garamond" w:hAnsi="Garamond"/>
          <w:color w:val="000000" w:themeColor="text1"/>
        </w:rPr>
        <w:t xml:space="preserve"> </w:t>
      </w:r>
      <w:r w:rsidR="00CE3D56">
        <w:rPr>
          <w:rFonts w:ascii="Garamond" w:hAnsi="Garamond"/>
          <w:color w:val="000000" w:themeColor="text1"/>
        </w:rPr>
        <w:t xml:space="preserve">Such tools and guidance also </w:t>
      </w:r>
      <w:r w:rsidR="00E41CA3">
        <w:rPr>
          <w:rFonts w:ascii="Garamond" w:hAnsi="Garamond"/>
          <w:color w:val="000000" w:themeColor="text1"/>
        </w:rPr>
        <w:t>assist</w:t>
      </w:r>
      <w:r w:rsidR="00CE3D56">
        <w:rPr>
          <w:rFonts w:ascii="Garamond" w:hAnsi="Garamond"/>
          <w:color w:val="000000" w:themeColor="text1"/>
        </w:rPr>
        <w:t xml:space="preserve"> </w:t>
      </w:r>
      <w:r w:rsidR="003302CC">
        <w:rPr>
          <w:rFonts w:ascii="Garamond" w:hAnsi="Garamond"/>
          <w:color w:val="000000" w:themeColor="text1"/>
        </w:rPr>
        <w:t xml:space="preserve">facility managers </w:t>
      </w:r>
      <w:r w:rsidR="00CE3D56">
        <w:rPr>
          <w:rFonts w:ascii="Garamond" w:hAnsi="Garamond"/>
          <w:color w:val="000000" w:themeColor="text1"/>
        </w:rPr>
        <w:t xml:space="preserve">and tenant agencies </w:t>
      </w:r>
      <w:r w:rsidR="003302CC">
        <w:rPr>
          <w:rFonts w:ascii="Garamond" w:hAnsi="Garamond"/>
          <w:color w:val="000000" w:themeColor="text1"/>
        </w:rPr>
        <w:t xml:space="preserve">to </w:t>
      </w:r>
      <w:r w:rsidR="008376EC">
        <w:rPr>
          <w:rFonts w:ascii="Garamond" w:hAnsi="Garamond"/>
          <w:color w:val="000000" w:themeColor="text1"/>
        </w:rPr>
        <w:t>updat</w:t>
      </w:r>
      <w:r w:rsidR="003302CC">
        <w:rPr>
          <w:rFonts w:ascii="Garamond" w:hAnsi="Garamond"/>
          <w:color w:val="000000" w:themeColor="text1"/>
        </w:rPr>
        <w:t xml:space="preserve">e </w:t>
      </w:r>
      <w:r w:rsidR="00AA6FC8">
        <w:rPr>
          <w:rFonts w:ascii="Garamond" w:hAnsi="Garamond"/>
          <w:color w:val="000000" w:themeColor="text1"/>
        </w:rPr>
        <w:t>operational policies and procedures</w:t>
      </w:r>
      <w:r w:rsidR="00262940">
        <w:rPr>
          <w:rFonts w:ascii="Garamond" w:hAnsi="Garamond"/>
          <w:color w:val="000000" w:themeColor="text1"/>
        </w:rPr>
        <w:t xml:space="preserve"> </w:t>
      </w:r>
      <w:r w:rsidR="003302CC">
        <w:rPr>
          <w:rFonts w:ascii="Garamond" w:hAnsi="Garamond"/>
          <w:color w:val="000000" w:themeColor="text1"/>
        </w:rPr>
        <w:t>to enhance potential occupant outcomes</w:t>
      </w:r>
      <w:r w:rsidR="00474CDF">
        <w:rPr>
          <w:rFonts w:ascii="Garamond" w:hAnsi="Garamond"/>
          <w:color w:val="000000" w:themeColor="text1"/>
        </w:rPr>
        <w:t>,</w:t>
      </w:r>
      <w:r w:rsidR="003302CC">
        <w:rPr>
          <w:rFonts w:ascii="Garamond" w:hAnsi="Garamond"/>
          <w:color w:val="000000" w:themeColor="text1"/>
        </w:rPr>
        <w:t xml:space="preserve"> including </w:t>
      </w:r>
      <w:r w:rsidR="00262940">
        <w:rPr>
          <w:rFonts w:ascii="Garamond" w:hAnsi="Garamond"/>
          <w:color w:val="000000" w:themeColor="text1"/>
        </w:rPr>
        <w:t xml:space="preserve">health and wellness goals. </w:t>
      </w:r>
    </w:p>
    <w:p w14:paraId="578B4350" w14:textId="77777777" w:rsidR="00C16963" w:rsidRDefault="00C16963" w:rsidP="00C16963">
      <w:pPr>
        <w:rPr>
          <w:rFonts w:ascii="Garamond" w:hAnsi="Garamond"/>
          <w:color w:val="000000" w:themeColor="text1"/>
        </w:rPr>
      </w:pPr>
    </w:p>
    <w:p w14:paraId="14A2382B" w14:textId="67BD4265" w:rsidR="00C16963" w:rsidRPr="00415EFE" w:rsidRDefault="00C16963" w:rsidP="00A03DB7">
      <w:pPr>
        <w:pStyle w:val="Heading2"/>
      </w:pPr>
      <w:r>
        <w:t>Section 2</w:t>
      </w:r>
      <w:r w:rsidRPr="00415EFE">
        <w:t xml:space="preserve">a: </w:t>
      </w:r>
      <w:r w:rsidR="008B0698">
        <w:t xml:space="preserve">Policy </w:t>
      </w:r>
      <w:r w:rsidRPr="00415EFE">
        <w:t>Recommendat</w:t>
      </w:r>
      <w:r w:rsidR="00AA6FC8">
        <w:t>ion</w:t>
      </w:r>
      <w:r w:rsidR="008B0698">
        <w:t>s</w:t>
      </w:r>
      <w:r w:rsidR="00AA6FC8">
        <w:t xml:space="preserve"> </w:t>
      </w:r>
      <w:r w:rsidR="008B0698">
        <w:t>for GSA and F</w:t>
      </w:r>
      <w:r w:rsidRPr="00415EFE">
        <w:t xml:space="preserve">ederal </w:t>
      </w:r>
      <w:r w:rsidR="00026872" w:rsidRPr="003302CC">
        <w:t>Lan</w:t>
      </w:r>
      <w:r w:rsidR="00783C1E" w:rsidRPr="003302CC">
        <w:t>d</w:t>
      </w:r>
      <w:r w:rsidR="00026872" w:rsidRPr="003302CC">
        <w:t>holding</w:t>
      </w:r>
      <w:r w:rsidR="00D975F6">
        <w:t xml:space="preserve"> </w:t>
      </w:r>
      <w:r w:rsidR="008B0698">
        <w:t>A</w:t>
      </w:r>
      <w:r w:rsidRPr="00415EFE">
        <w:t>gencies</w:t>
      </w:r>
    </w:p>
    <w:p w14:paraId="2E5196E0" w14:textId="77777777" w:rsidR="00C16963" w:rsidRDefault="00C16963" w:rsidP="00C16963">
      <w:pPr>
        <w:rPr>
          <w:rFonts w:ascii="Garamond" w:hAnsi="Garamond"/>
          <w:color w:val="000000" w:themeColor="text1"/>
        </w:rPr>
      </w:pPr>
    </w:p>
    <w:p w14:paraId="0B15CD45" w14:textId="1434ACA2" w:rsidR="00C16963" w:rsidRPr="00A919AF" w:rsidRDefault="00C16963" w:rsidP="00C16963">
      <w:pPr>
        <w:pStyle w:val="ListParagraph"/>
        <w:numPr>
          <w:ilvl w:val="0"/>
          <w:numId w:val="5"/>
        </w:numPr>
        <w:rPr>
          <w:rFonts w:ascii="Garamond" w:hAnsi="Garamond"/>
          <w:color w:val="000000" w:themeColor="text1"/>
        </w:rPr>
      </w:pPr>
      <w:r w:rsidRPr="00A919AF">
        <w:rPr>
          <w:rFonts w:ascii="Garamond" w:hAnsi="Garamond"/>
          <w:color w:val="000000" w:themeColor="text1"/>
        </w:rPr>
        <w:t xml:space="preserve">The </w:t>
      </w:r>
      <w:r w:rsidR="006F15AC" w:rsidRPr="00A919AF">
        <w:rPr>
          <w:rFonts w:ascii="Garamond" w:hAnsi="Garamond"/>
          <w:color w:val="000000" w:themeColor="text1"/>
        </w:rPr>
        <w:t>Committee</w:t>
      </w:r>
      <w:r w:rsidRPr="00A919AF">
        <w:rPr>
          <w:rFonts w:ascii="Garamond" w:hAnsi="Garamond"/>
          <w:color w:val="000000" w:themeColor="text1"/>
        </w:rPr>
        <w:t xml:space="preserve"> </w:t>
      </w:r>
      <w:r w:rsidR="0021738A">
        <w:rPr>
          <w:rFonts w:ascii="Garamond" w:hAnsi="Garamond"/>
          <w:color w:val="000000" w:themeColor="text1"/>
        </w:rPr>
        <w:t>fully supports</w:t>
      </w:r>
      <w:r w:rsidR="0021738A" w:rsidRPr="00A919AF">
        <w:rPr>
          <w:rFonts w:ascii="Garamond" w:hAnsi="Garamond"/>
          <w:color w:val="000000" w:themeColor="text1"/>
        </w:rPr>
        <w:t xml:space="preserve"> </w:t>
      </w:r>
      <w:r w:rsidRPr="00A919AF">
        <w:rPr>
          <w:rFonts w:ascii="Garamond" w:hAnsi="Garamond"/>
          <w:color w:val="000000" w:themeColor="text1"/>
        </w:rPr>
        <w:t xml:space="preserve">the </w:t>
      </w:r>
      <w:r w:rsidR="00AA6FC8" w:rsidRPr="00A919AF">
        <w:rPr>
          <w:rFonts w:ascii="Garamond" w:hAnsi="Garamond"/>
          <w:color w:val="000000" w:themeColor="text1"/>
        </w:rPr>
        <w:t>inclusion of health and wellness requirements within the 2016</w:t>
      </w:r>
      <w:r w:rsidRPr="00A919AF">
        <w:rPr>
          <w:rFonts w:ascii="Garamond" w:hAnsi="Garamond"/>
          <w:color w:val="000000" w:themeColor="text1"/>
        </w:rPr>
        <w:t xml:space="preserve"> </w:t>
      </w:r>
      <w:r w:rsidR="00593B76" w:rsidRPr="00A919AF">
        <w:rPr>
          <w:rFonts w:ascii="Garamond" w:hAnsi="Garamond"/>
          <w:color w:val="000000" w:themeColor="text1"/>
        </w:rPr>
        <w:t xml:space="preserve">Federal </w:t>
      </w:r>
      <w:r w:rsidRPr="00A919AF">
        <w:rPr>
          <w:rFonts w:ascii="Garamond" w:hAnsi="Garamond"/>
          <w:color w:val="000000" w:themeColor="text1"/>
        </w:rPr>
        <w:t>Guiding Principles</w:t>
      </w:r>
      <w:r w:rsidR="00172137">
        <w:rPr>
          <w:rFonts w:ascii="Garamond" w:hAnsi="Garamond"/>
          <w:color w:val="000000" w:themeColor="text1"/>
        </w:rPr>
        <w:t xml:space="preserve"> and </w:t>
      </w:r>
      <w:r w:rsidR="0021738A">
        <w:rPr>
          <w:rFonts w:ascii="Garamond" w:hAnsi="Garamond"/>
          <w:color w:val="000000" w:themeColor="text1"/>
        </w:rPr>
        <w:t>other</w:t>
      </w:r>
      <w:r w:rsidR="0021738A" w:rsidRPr="00A919AF">
        <w:rPr>
          <w:rFonts w:ascii="Garamond" w:hAnsi="Garamond"/>
          <w:color w:val="000000" w:themeColor="text1"/>
        </w:rPr>
        <w:t xml:space="preserve"> </w:t>
      </w:r>
      <w:r w:rsidR="00AA6FC8" w:rsidRPr="00A919AF">
        <w:rPr>
          <w:rFonts w:ascii="Garamond" w:hAnsi="Garamond"/>
          <w:color w:val="000000" w:themeColor="text1"/>
        </w:rPr>
        <w:t xml:space="preserve">Federal design guidelines (i.e. </w:t>
      </w:r>
      <w:r w:rsidR="00A24BC3">
        <w:rPr>
          <w:rFonts w:ascii="Garamond" w:hAnsi="Garamond"/>
          <w:color w:val="000000" w:themeColor="text1"/>
        </w:rPr>
        <w:t xml:space="preserve">GSA’s </w:t>
      </w:r>
      <w:r w:rsidR="00AA6FC8" w:rsidRPr="00A919AF">
        <w:rPr>
          <w:rFonts w:ascii="Garamond" w:hAnsi="Garamond"/>
          <w:color w:val="000000" w:themeColor="text1"/>
        </w:rPr>
        <w:t>P-100, VA</w:t>
      </w:r>
      <w:r w:rsidR="00A47FB5">
        <w:rPr>
          <w:rFonts w:ascii="Garamond" w:hAnsi="Garamond"/>
          <w:color w:val="000000" w:themeColor="text1"/>
        </w:rPr>
        <w:t xml:space="preserve"> Design Guides</w:t>
      </w:r>
      <w:r w:rsidR="00AA6FC8" w:rsidRPr="00A919AF">
        <w:rPr>
          <w:rFonts w:ascii="Garamond" w:hAnsi="Garamond"/>
          <w:color w:val="000000" w:themeColor="text1"/>
        </w:rPr>
        <w:t>, DoD</w:t>
      </w:r>
      <w:r w:rsidR="00A24BC3">
        <w:rPr>
          <w:rFonts w:ascii="Garamond" w:hAnsi="Garamond"/>
          <w:color w:val="000000" w:themeColor="text1"/>
        </w:rPr>
        <w:t xml:space="preserve"> Unified Facilities Criteria</w:t>
      </w:r>
      <w:r w:rsidR="00AA6FC8" w:rsidRPr="00A919AF">
        <w:rPr>
          <w:rFonts w:ascii="Garamond" w:hAnsi="Garamond"/>
          <w:color w:val="000000" w:themeColor="text1"/>
        </w:rPr>
        <w:t>, etc.)</w:t>
      </w:r>
      <w:r w:rsidR="00172137">
        <w:rPr>
          <w:rFonts w:ascii="Garamond" w:hAnsi="Garamond"/>
          <w:color w:val="000000" w:themeColor="text1"/>
        </w:rPr>
        <w:t xml:space="preserve">. </w:t>
      </w:r>
      <w:r w:rsidR="00593B76" w:rsidRPr="00A919AF">
        <w:rPr>
          <w:rFonts w:ascii="Garamond" w:hAnsi="Garamond"/>
          <w:color w:val="000000" w:themeColor="text1"/>
        </w:rPr>
        <w:t xml:space="preserve"> </w:t>
      </w:r>
      <w:r w:rsidR="00172137">
        <w:rPr>
          <w:rFonts w:ascii="Garamond" w:hAnsi="Garamond"/>
          <w:color w:val="000000" w:themeColor="text1"/>
        </w:rPr>
        <w:t xml:space="preserve">The </w:t>
      </w:r>
      <w:r w:rsidR="00A24BC3">
        <w:rPr>
          <w:rFonts w:ascii="Garamond" w:hAnsi="Garamond"/>
          <w:color w:val="000000" w:themeColor="text1"/>
        </w:rPr>
        <w:t xml:space="preserve">Committee </w:t>
      </w:r>
      <w:r w:rsidR="00172137">
        <w:rPr>
          <w:rFonts w:ascii="Garamond" w:hAnsi="Garamond"/>
          <w:color w:val="000000" w:themeColor="text1"/>
        </w:rPr>
        <w:t xml:space="preserve">advises the Federal Government to </w:t>
      </w:r>
      <w:r w:rsidR="00172137" w:rsidRPr="00172137">
        <w:rPr>
          <w:rFonts w:ascii="Garamond" w:hAnsi="Garamond"/>
          <w:b/>
          <w:color w:val="000000" w:themeColor="text1"/>
        </w:rPr>
        <w:t xml:space="preserve">consistently </w:t>
      </w:r>
      <w:r w:rsidRPr="00172137">
        <w:rPr>
          <w:rFonts w:ascii="Garamond" w:hAnsi="Garamond"/>
          <w:b/>
          <w:color w:val="000000" w:themeColor="text1"/>
        </w:rPr>
        <w:t>extend the</w:t>
      </w:r>
      <w:r w:rsidR="00593B76" w:rsidRPr="00172137">
        <w:rPr>
          <w:rFonts w:ascii="Garamond" w:hAnsi="Garamond"/>
          <w:b/>
          <w:color w:val="000000" w:themeColor="text1"/>
        </w:rPr>
        <w:t>se health and wellness requirements</w:t>
      </w:r>
      <w:r w:rsidRPr="00172137">
        <w:rPr>
          <w:rFonts w:ascii="Garamond" w:hAnsi="Garamond"/>
          <w:b/>
          <w:color w:val="000000" w:themeColor="text1"/>
        </w:rPr>
        <w:t xml:space="preserve"> to all Federal buildings</w:t>
      </w:r>
      <w:r w:rsidR="00026872">
        <w:rPr>
          <w:rFonts w:ascii="Garamond" w:hAnsi="Garamond"/>
          <w:b/>
          <w:color w:val="000000" w:themeColor="text1"/>
        </w:rPr>
        <w:t xml:space="preserve"> where possible and </w:t>
      </w:r>
      <w:r w:rsidR="00783C1E">
        <w:rPr>
          <w:rFonts w:ascii="Garamond" w:hAnsi="Garamond"/>
          <w:b/>
          <w:color w:val="000000" w:themeColor="text1"/>
        </w:rPr>
        <w:t>applicable</w:t>
      </w:r>
      <w:r w:rsidRPr="00172137">
        <w:rPr>
          <w:rFonts w:ascii="Garamond" w:hAnsi="Garamond"/>
          <w:b/>
          <w:color w:val="000000" w:themeColor="text1"/>
        </w:rPr>
        <w:t>.</w:t>
      </w:r>
    </w:p>
    <w:p w14:paraId="5E7084E4" w14:textId="77777777" w:rsidR="00C16963" w:rsidRPr="0036131A" w:rsidRDefault="00C16963" w:rsidP="00C16963">
      <w:pPr>
        <w:rPr>
          <w:rFonts w:ascii="Garamond" w:hAnsi="Garamond"/>
          <w:color w:val="FF0000"/>
        </w:rPr>
      </w:pPr>
    </w:p>
    <w:p w14:paraId="1DA6FAD8" w14:textId="6EAB50FE" w:rsidR="00C16963" w:rsidRPr="0036131A" w:rsidRDefault="00C16963" w:rsidP="00026872">
      <w:pPr>
        <w:pStyle w:val="ListParagraph"/>
        <w:numPr>
          <w:ilvl w:val="0"/>
          <w:numId w:val="5"/>
        </w:numPr>
        <w:rPr>
          <w:rFonts w:ascii="Garamond" w:hAnsi="Garamond"/>
          <w:color w:val="000000" w:themeColor="text1"/>
        </w:rPr>
      </w:pPr>
      <w:r w:rsidRPr="0036131A">
        <w:rPr>
          <w:rFonts w:ascii="Garamond" w:hAnsi="Garamond"/>
          <w:color w:val="000000" w:themeColor="text1"/>
        </w:rPr>
        <w:t xml:space="preserve">The </w:t>
      </w:r>
      <w:r w:rsidR="006F15AC">
        <w:rPr>
          <w:rFonts w:ascii="Garamond" w:hAnsi="Garamond"/>
          <w:color w:val="000000" w:themeColor="text1"/>
        </w:rPr>
        <w:t>Committee</w:t>
      </w:r>
      <w:r w:rsidR="003302CC">
        <w:rPr>
          <w:rFonts w:ascii="Garamond" w:hAnsi="Garamond"/>
          <w:color w:val="000000" w:themeColor="text1"/>
        </w:rPr>
        <w:t xml:space="preserve"> recommends</w:t>
      </w:r>
      <w:r w:rsidRPr="0036131A">
        <w:rPr>
          <w:rFonts w:ascii="Garamond" w:hAnsi="Garamond"/>
          <w:color w:val="000000" w:themeColor="text1"/>
        </w:rPr>
        <w:t xml:space="preserve"> that the Federal government </w:t>
      </w:r>
      <w:r w:rsidRPr="0036131A">
        <w:rPr>
          <w:rFonts w:ascii="Garamond" w:hAnsi="Garamond"/>
          <w:b/>
          <w:color w:val="000000" w:themeColor="text1"/>
        </w:rPr>
        <w:t xml:space="preserve">use the </w:t>
      </w:r>
      <w:r w:rsidR="000347F1">
        <w:rPr>
          <w:rFonts w:ascii="Garamond" w:hAnsi="Garamond"/>
          <w:b/>
          <w:color w:val="000000" w:themeColor="text1"/>
        </w:rPr>
        <w:t>Guidance Crosswalk</w:t>
      </w:r>
      <w:r w:rsidRPr="0036131A">
        <w:rPr>
          <w:rFonts w:ascii="Garamond" w:hAnsi="Garamond"/>
          <w:b/>
          <w:color w:val="000000" w:themeColor="text1"/>
        </w:rPr>
        <w:t xml:space="preserve"> developed by the Health and Wellness Task Group </w:t>
      </w:r>
      <w:r w:rsidRPr="0036131A">
        <w:rPr>
          <w:rFonts w:ascii="Garamond" w:hAnsi="Garamond"/>
          <w:color w:val="000000" w:themeColor="text1"/>
        </w:rPr>
        <w:t>to assist in supporting</w:t>
      </w:r>
      <w:r w:rsidR="00487832">
        <w:rPr>
          <w:rFonts w:ascii="Garamond" w:hAnsi="Garamond"/>
          <w:color w:val="000000" w:themeColor="text1"/>
        </w:rPr>
        <w:t xml:space="preserve"> </w:t>
      </w:r>
      <w:r w:rsidR="00834DA7">
        <w:rPr>
          <w:rFonts w:ascii="Garamond" w:hAnsi="Garamond"/>
          <w:color w:val="000000" w:themeColor="text1"/>
        </w:rPr>
        <w:t>building</w:t>
      </w:r>
      <w:r w:rsidR="00487832">
        <w:rPr>
          <w:rFonts w:ascii="Garamond" w:hAnsi="Garamond"/>
          <w:color w:val="000000" w:themeColor="text1"/>
        </w:rPr>
        <w:t xml:space="preserve"> project</w:t>
      </w:r>
      <w:r w:rsidRPr="0036131A">
        <w:rPr>
          <w:rFonts w:ascii="Garamond" w:hAnsi="Garamond"/>
          <w:color w:val="000000" w:themeColor="text1"/>
        </w:rPr>
        <w:t xml:space="preserve"> </w:t>
      </w:r>
      <w:r w:rsidR="00A47FB5">
        <w:rPr>
          <w:rFonts w:ascii="Garamond" w:hAnsi="Garamond"/>
          <w:color w:val="000000" w:themeColor="text1"/>
        </w:rPr>
        <w:t>h</w:t>
      </w:r>
      <w:r w:rsidRPr="0036131A">
        <w:rPr>
          <w:rFonts w:ascii="Garamond" w:hAnsi="Garamond"/>
          <w:color w:val="000000" w:themeColor="text1"/>
        </w:rPr>
        <w:t xml:space="preserve">ealth and </w:t>
      </w:r>
      <w:r w:rsidR="00A47FB5">
        <w:rPr>
          <w:rFonts w:ascii="Garamond" w:hAnsi="Garamond"/>
          <w:color w:val="000000" w:themeColor="text1"/>
        </w:rPr>
        <w:t>w</w:t>
      </w:r>
      <w:r w:rsidRPr="0036131A">
        <w:rPr>
          <w:rFonts w:ascii="Garamond" w:hAnsi="Garamond"/>
          <w:color w:val="000000" w:themeColor="text1"/>
        </w:rPr>
        <w:t xml:space="preserve">ellness </w:t>
      </w:r>
      <w:r w:rsidR="00487832">
        <w:rPr>
          <w:rFonts w:ascii="Garamond" w:hAnsi="Garamond"/>
          <w:color w:val="000000" w:themeColor="text1"/>
        </w:rPr>
        <w:t>goals</w:t>
      </w:r>
      <w:r w:rsidR="00593B76">
        <w:rPr>
          <w:rFonts w:ascii="Garamond" w:hAnsi="Garamond"/>
          <w:color w:val="000000" w:themeColor="text1"/>
        </w:rPr>
        <w:t xml:space="preserve"> </w:t>
      </w:r>
      <w:r w:rsidR="00B253B7">
        <w:rPr>
          <w:rFonts w:ascii="Garamond" w:hAnsi="Garamond"/>
          <w:color w:val="000000" w:themeColor="text1"/>
        </w:rPr>
        <w:t>and</w:t>
      </w:r>
      <w:r w:rsidR="00593B76">
        <w:rPr>
          <w:rFonts w:ascii="Garamond" w:hAnsi="Garamond"/>
          <w:color w:val="000000" w:themeColor="text1"/>
        </w:rPr>
        <w:t xml:space="preserve"> the Health and Wellness</w:t>
      </w:r>
      <w:r w:rsidR="00487832">
        <w:rPr>
          <w:rFonts w:ascii="Garamond" w:hAnsi="Garamond"/>
          <w:color w:val="000000" w:themeColor="text1"/>
        </w:rPr>
        <w:t xml:space="preserve"> </w:t>
      </w:r>
      <w:r w:rsidRPr="0036131A">
        <w:rPr>
          <w:rFonts w:ascii="Garamond" w:hAnsi="Garamond"/>
          <w:color w:val="000000" w:themeColor="text1"/>
        </w:rPr>
        <w:t xml:space="preserve">requirements in the </w:t>
      </w:r>
      <w:r w:rsidR="00026872">
        <w:rPr>
          <w:rFonts w:ascii="Garamond" w:hAnsi="Garamond"/>
          <w:color w:val="000000" w:themeColor="text1"/>
        </w:rPr>
        <w:t>current version of the</w:t>
      </w:r>
      <w:r w:rsidR="00026872" w:rsidRPr="0036131A">
        <w:rPr>
          <w:rFonts w:ascii="Garamond" w:hAnsi="Garamond"/>
          <w:color w:val="000000" w:themeColor="text1"/>
        </w:rPr>
        <w:t xml:space="preserve"> </w:t>
      </w:r>
      <w:r w:rsidRPr="0036131A">
        <w:rPr>
          <w:rFonts w:ascii="Garamond" w:hAnsi="Garamond"/>
          <w:color w:val="000000" w:themeColor="text1"/>
        </w:rPr>
        <w:t>Guiding Principles</w:t>
      </w:r>
      <w:r w:rsidR="00026872" w:rsidRPr="00026872">
        <w:t xml:space="preserve"> </w:t>
      </w:r>
      <w:r w:rsidR="00026872" w:rsidRPr="00026872">
        <w:rPr>
          <w:rFonts w:ascii="Garamond" w:hAnsi="Garamond"/>
          <w:color w:val="000000" w:themeColor="text1"/>
        </w:rPr>
        <w:t>for Sustainable Federal Buildings</w:t>
      </w:r>
      <w:r w:rsidRPr="0036131A">
        <w:rPr>
          <w:rFonts w:ascii="Garamond" w:hAnsi="Garamond"/>
          <w:color w:val="000000" w:themeColor="text1"/>
        </w:rPr>
        <w:t>.</w:t>
      </w:r>
    </w:p>
    <w:p w14:paraId="29F1E60B" w14:textId="77777777" w:rsidR="00C16963" w:rsidRPr="0036131A" w:rsidRDefault="00C16963" w:rsidP="00C16963">
      <w:pPr>
        <w:rPr>
          <w:rFonts w:ascii="Garamond" w:hAnsi="Garamond"/>
          <w:color w:val="000000" w:themeColor="text1"/>
        </w:rPr>
      </w:pPr>
    </w:p>
    <w:p w14:paraId="401308F7" w14:textId="26C7B4E4" w:rsidR="00C16963" w:rsidRDefault="00C16963" w:rsidP="00C16963">
      <w:pPr>
        <w:pStyle w:val="ListParagraph"/>
        <w:numPr>
          <w:ilvl w:val="0"/>
          <w:numId w:val="5"/>
        </w:numPr>
        <w:rPr>
          <w:rFonts w:ascii="Garamond" w:hAnsi="Garamond"/>
          <w:color w:val="000000" w:themeColor="text1"/>
        </w:rPr>
      </w:pPr>
      <w:r w:rsidRPr="0036131A">
        <w:rPr>
          <w:rFonts w:ascii="Garamond" w:hAnsi="Garamond"/>
          <w:color w:val="000000" w:themeColor="text1"/>
        </w:rPr>
        <w:t xml:space="preserve">The </w:t>
      </w:r>
      <w:r w:rsidR="006F15AC">
        <w:rPr>
          <w:rFonts w:ascii="Garamond" w:hAnsi="Garamond"/>
          <w:color w:val="000000" w:themeColor="text1"/>
        </w:rPr>
        <w:t>Committee</w:t>
      </w:r>
      <w:r w:rsidRPr="0036131A">
        <w:rPr>
          <w:rFonts w:ascii="Garamond" w:hAnsi="Garamond"/>
          <w:color w:val="000000" w:themeColor="text1"/>
        </w:rPr>
        <w:t xml:space="preserve"> </w:t>
      </w:r>
      <w:r w:rsidR="00E463DD">
        <w:rPr>
          <w:rFonts w:ascii="Garamond" w:hAnsi="Garamond"/>
          <w:color w:val="000000" w:themeColor="text1"/>
        </w:rPr>
        <w:t>recommends</w:t>
      </w:r>
      <w:r w:rsidR="00E463DD" w:rsidRPr="0036131A">
        <w:rPr>
          <w:rFonts w:ascii="Garamond" w:hAnsi="Garamond"/>
          <w:color w:val="000000" w:themeColor="text1"/>
        </w:rPr>
        <w:t xml:space="preserve"> </w:t>
      </w:r>
      <w:r w:rsidRPr="0036131A">
        <w:rPr>
          <w:rFonts w:ascii="Garamond" w:hAnsi="Garamond"/>
          <w:color w:val="000000" w:themeColor="text1"/>
        </w:rPr>
        <w:t xml:space="preserve">that Federal </w:t>
      </w:r>
      <w:r w:rsidR="00834DA7">
        <w:rPr>
          <w:rFonts w:ascii="Garamond" w:hAnsi="Garamond"/>
          <w:color w:val="000000" w:themeColor="text1"/>
        </w:rPr>
        <w:t>building programs</w:t>
      </w:r>
      <w:r w:rsidRPr="0036131A">
        <w:rPr>
          <w:rFonts w:ascii="Garamond" w:hAnsi="Garamond"/>
          <w:color w:val="000000" w:themeColor="text1"/>
        </w:rPr>
        <w:t xml:space="preserve"> </w:t>
      </w:r>
      <w:r w:rsidRPr="0036131A">
        <w:rPr>
          <w:rFonts w:ascii="Garamond" w:hAnsi="Garamond"/>
          <w:b/>
          <w:color w:val="000000" w:themeColor="text1"/>
        </w:rPr>
        <w:t xml:space="preserve">expand the </w:t>
      </w:r>
      <w:r w:rsidR="0021738A">
        <w:rPr>
          <w:rFonts w:ascii="Garamond" w:hAnsi="Garamond"/>
          <w:b/>
          <w:color w:val="000000" w:themeColor="text1"/>
        </w:rPr>
        <w:t xml:space="preserve">existing </w:t>
      </w:r>
      <w:r w:rsidRPr="0036131A">
        <w:rPr>
          <w:rFonts w:ascii="Garamond" w:hAnsi="Garamond"/>
          <w:b/>
          <w:color w:val="000000" w:themeColor="text1"/>
        </w:rPr>
        <w:t xml:space="preserve">integrated design process to include </w:t>
      </w:r>
      <w:r w:rsidR="00B86DCB" w:rsidRPr="003302CC">
        <w:rPr>
          <w:rFonts w:ascii="Garamond" w:hAnsi="Garamond"/>
          <w:b/>
          <w:color w:val="000000" w:themeColor="text1"/>
        </w:rPr>
        <w:t>additional</w:t>
      </w:r>
      <w:r w:rsidR="00B86DCB">
        <w:rPr>
          <w:rFonts w:ascii="Garamond" w:hAnsi="Garamond"/>
          <w:b/>
          <w:color w:val="000000" w:themeColor="text1"/>
        </w:rPr>
        <w:t xml:space="preserve"> </w:t>
      </w:r>
      <w:r w:rsidR="00593B76">
        <w:rPr>
          <w:rFonts w:ascii="Garamond" w:hAnsi="Garamond"/>
          <w:b/>
          <w:color w:val="000000" w:themeColor="text1"/>
        </w:rPr>
        <w:t>consideration of</w:t>
      </w:r>
      <w:r w:rsidRPr="0036131A">
        <w:rPr>
          <w:rFonts w:ascii="Garamond" w:hAnsi="Garamond"/>
          <w:b/>
          <w:color w:val="000000" w:themeColor="text1"/>
        </w:rPr>
        <w:t xml:space="preserve"> health impacts</w:t>
      </w:r>
      <w:r w:rsidRPr="0036131A">
        <w:rPr>
          <w:rFonts w:ascii="Garamond" w:hAnsi="Garamond"/>
          <w:color w:val="000000" w:themeColor="text1"/>
        </w:rPr>
        <w:t xml:space="preserve"> </w:t>
      </w:r>
      <w:r w:rsidR="00593B76">
        <w:rPr>
          <w:rFonts w:ascii="Garamond" w:hAnsi="Garamond"/>
          <w:color w:val="000000" w:themeColor="text1"/>
        </w:rPr>
        <w:t>to assist</w:t>
      </w:r>
      <w:r w:rsidRPr="0036131A">
        <w:rPr>
          <w:rFonts w:ascii="Garamond" w:hAnsi="Garamond"/>
          <w:color w:val="000000" w:themeColor="text1"/>
        </w:rPr>
        <w:t xml:space="preserve"> project teams </w:t>
      </w:r>
      <w:r w:rsidR="00593B76">
        <w:rPr>
          <w:rFonts w:ascii="Garamond" w:hAnsi="Garamond"/>
          <w:color w:val="000000" w:themeColor="text1"/>
        </w:rPr>
        <w:t xml:space="preserve">to </w:t>
      </w:r>
      <w:r w:rsidRPr="0036131A">
        <w:rPr>
          <w:rFonts w:ascii="Garamond" w:hAnsi="Garamond"/>
          <w:color w:val="000000" w:themeColor="text1"/>
        </w:rPr>
        <w:t xml:space="preserve">understand </w:t>
      </w:r>
      <w:r w:rsidR="00593B76">
        <w:rPr>
          <w:rFonts w:ascii="Garamond" w:hAnsi="Garamond"/>
          <w:color w:val="000000" w:themeColor="text1"/>
        </w:rPr>
        <w:t xml:space="preserve">and include </w:t>
      </w:r>
      <w:r w:rsidRPr="0036131A">
        <w:rPr>
          <w:rFonts w:ascii="Garamond" w:hAnsi="Garamond"/>
          <w:color w:val="000000" w:themeColor="text1"/>
        </w:rPr>
        <w:t xml:space="preserve">the </w:t>
      </w:r>
      <w:r w:rsidR="00593B76">
        <w:rPr>
          <w:rFonts w:ascii="Garamond" w:hAnsi="Garamond"/>
          <w:color w:val="000000" w:themeColor="text1"/>
        </w:rPr>
        <w:t xml:space="preserve">evaluation of </w:t>
      </w:r>
      <w:r w:rsidR="00D63A99">
        <w:rPr>
          <w:rFonts w:ascii="Garamond" w:hAnsi="Garamond"/>
          <w:color w:val="000000" w:themeColor="text1"/>
        </w:rPr>
        <w:t xml:space="preserve">human </w:t>
      </w:r>
      <w:r w:rsidRPr="0036131A">
        <w:rPr>
          <w:rFonts w:ascii="Garamond" w:hAnsi="Garamond"/>
          <w:color w:val="000000" w:themeColor="text1"/>
        </w:rPr>
        <w:t xml:space="preserve">health outcomes alongside </w:t>
      </w:r>
      <w:r w:rsidR="0021738A">
        <w:rPr>
          <w:rFonts w:ascii="Garamond" w:hAnsi="Garamond"/>
          <w:color w:val="000000" w:themeColor="text1"/>
        </w:rPr>
        <w:t>more familiar</w:t>
      </w:r>
      <w:r w:rsidR="0021738A" w:rsidRPr="0036131A">
        <w:rPr>
          <w:rFonts w:ascii="Garamond" w:hAnsi="Garamond"/>
          <w:color w:val="000000" w:themeColor="text1"/>
        </w:rPr>
        <w:t xml:space="preserve"> </w:t>
      </w:r>
      <w:r w:rsidRPr="0036131A">
        <w:rPr>
          <w:rFonts w:ascii="Garamond" w:hAnsi="Garamond"/>
          <w:color w:val="000000" w:themeColor="text1"/>
        </w:rPr>
        <w:t>environmental outcomes.</w:t>
      </w:r>
    </w:p>
    <w:p w14:paraId="62B55487" w14:textId="77777777" w:rsidR="003B3C1C" w:rsidRPr="003B3C1C" w:rsidRDefault="003B3C1C" w:rsidP="003B3C1C">
      <w:pPr>
        <w:rPr>
          <w:rFonts w:ascii="Garamond" w:hAnsi="Garamond"/>
          <w:color w:val="000000" w:themeColor="text1"/>
        </w:rPr>
      </w:pPr>
    </w:p>
    <w:p w14:paraId="0229AA5D" w14:textId="56734514" w:rsidR="00A13148" w:rsidRPr="00A13148" w:rsidRDefault="00C16963" w:rsidP="00A13148">
      <w:pPr>
        <w:pStyle w:val="ListParagraph"/>
        <w:numPr>
          <w:ilvl w:val="0"/>
          <w:numId w:val="5"/>
        </w:numPr>
        <w:rPr>
          <w:rFonts w:ascii="Garamond" w:hAnsi="Garamond"/>
          <w:color w:val="000000" w:themeColor="text1"/>
        </w:rPr>
      </w:pPr>
      <w:r w:rsidRPr="00415EFE">
        <w:rPr>
          <w:rFonts w:ascii="Garamond" w:hAnsi="Garamond"/>
          <w:color w:val="000000" w:themeColor="text1"/>
        </w:rPr>
        <w:t xml:space="preserve">The </w:t>
      </w:r>
      <w:r w:rsidR="006F15AC">
        <w:rPr>
          <w:rFonts w:ascii="Garamond" w:hAnsi="Garamond"/>
          <w:color w:val="000000" w:themeColor="text1"/>
        </w:rPr>
        <w:t>Committee</w:t>
      </w:r>
      <w:r w:rsidRPr="00415EFE">
        <w:rPr>
          <w:rFonts w:ascii="Garamond" w:hAnsi="Garamond"/>
          <w:color w:val="000000" w:themeColor="text1"/>
        </w:rPr>
        <w:t xml:space="preserve"> </w:t>
      </w:r>
      <w:r w:rsidR="00E463DD">
        <w:rPr>
          <w:rFonts w:ascii="Garamond" w:hAnsi="Garamond"/>
          <w:color w:val="000000" w:themeColor="text1"/>
        </w:rPr>
        <w:t>recommends</w:t>
      </w:r>
      <w:r w:rsidR="00E463DD" w:rsidRPr="00415EFE">
        <w:rPr>
          <w:rFonts w:ascii="Garamond" w:hAnsi="Garamond"/>
          <w:color w:val="000000" w:themeColor="text1"/>
        </w:rPr>
        <w:t xml:space="preserve"> </w:t>
      </w:r>
      <w:r w:rsidRPr="00415EFE">
        <w:rPr>
          <w:rFonts w:ascii="Garamond" w:hAnsi="Garamond"/>
          <w:color w:val="000000" w:themeColor="text1"/>
        </w:rPr>
        <w:t xml:space="preserve">that GSA </w:t>
      </w:r>
      <w:r w:rsidRPr="0036131A">
        <w:rPr>
          <w:rFonts w:ascii="Garamond" w:hAnsi="Garamond"/>
          <w:b/>
          <w:color w:val="000000" w:themeColor="text1"/>
        </w:rPr>
        <w:t>support additional research into health and wellness behaviors of workplace occupants in relationship to spaces and systems</w:t>
      </w:r>
      <w:r w:rsidRPr="00415EFE">
        <w:rPr>
          <w:rFonts w:ascii="Garamond" w:hAnsi="Garamond"/>
          <w:color w:val="000000" w:themeColor="text1"/>
        </w:rPr>
        <w:t xml:space="preserve"> to </w:t>
      </w:r>
      <w:r w:rsidR="00834DA7">
        <w:rPr>
          <w:rFonts w:ascii="Garamond" w:hAnsi="Garamond"/>
          <w:color w:val="000000" w:themeColor="text1"/>
        </w:rPr>
        <w:t>improve</w:t>
      </w:r>
      <w:r w:rsidRPr="00415EFE">
        <w:rPr>
          <w:rFonts w:ascii="Garamond" w:hAnsi="Garamond"/>
          <w:color w:val="000000" w:themeColor="text1"/>
        </w:rPr>
        <w:t xml:space="preserve"> understand</w:t>
      </w:r>
      <w:r w:rsidR="00834DA7">
        <w:rPr>
          <w:rFonts w:ascii="Garamond" w:hAnsi="Garamond"/>
          <w:color w:val="000000" w:themeColor="text1"/>
        </w:rPr>
        <w:t>ing of</w:t>
      </w:r>
      <w:r w:rsidRPr="00415EFE">
        <w:rPr>
          <w:rFonts w:ascii="Garamond" w:hAnsi="Garamond"/>
          <w:color w:val="000000" w:themeColor="text1"/>
        </w:rPr>
        <w:t xml:space="preserve"> the impacts that the built environment has on human health and the productivity of the workforce. </w:t>
      </w:r>
      <w:r w:rsidR="003E1CD0">
        <w:rPr>
          <w:rFonts w:ascii="Garamond" w:hAnsi="Garamond"/>
          <w:color w:val="000000" w:themeColor="text1"/>
        </w:rPr>
        <w:t xml:space="preserve"> </w:t>
      </w:r>
      <w:r w:rsidR="008B515F">
        <w:rPr>
          <w:rFonts w:ascii="Garamond" w:hAnsi="Garamond"/>
          <w:color w:val="000000" w:themeColor="text1"/>
        </w:rPr>
        <w:t xml:space="preserve">Recommended </w:t>
      </w:r>
      <w:r w:rsidR="009E2C84">
        <w:rPr>
          <w:rFonts w:ascii="Garamond" w:hAnsi="Garamond"/>
          <w:color w:val="000000" w:themeColor="text1"/>
        </w:rPr>
        <w:t>topics</w:t>
      </w:r>
      <w:r w:rsidR="008B515F">
        <w:rPr>
          <w:rFonts w:ascii="Garamond" w:hAnsi="Garamond"/>
          <w:color w:val="000000" w:themeColor="text1"/>
        </w:rPr>
        <w:t xml:space="preserve"> include:</w:t>
      </w:r>
    </w:p>
    <w:p w14:paraId="5036D95C" w14:textId="58BAB5E3" w:rsidR="00A13148" w:rsidRDefault="009E2C84" w:rsidP="00A13148">
      <w:pPr>
        <w:pStyle w:val="ListParagraph"/>
        <w:numPr>
          <w:ilvl w:val="1"/>
          <w:numId w:val="5"/>
        </w:numPr>
        <w:rPr>
          <w:rFonts w:ascii="Garamond" w:hAnsi="Garamond"/>
          <w:color w:val="000000" w:themeColor="text1"/>
        </w:rPr>
      </w:pPr>
      <w:r>
        <w:rPr>
          <w:rFonts w:ascii="Garamond" w:hAnsi="Garamond"/>
          <w:color w:val="000000" w:themeColor="text1"/>
        </w:rPr>
        <w:t>Identify and research l</w:t>
      </w:r>
      <w:r w:rsidR="00474CDF">
        <w:rPr>
          <w:rFonts w:ascii="Garamond" w:hAnsi="Garamond"/>
          <w:color w:val="000000" w:themeColor="text1"/>
        </w:rPr>
        <w:t xml:space="preserve">inks </w:t>
      </w:r>
      <w:r w:rsidR="00196F0B">
        <w:rPr>
          <w:rFonts w:ascii="Garamond" w:hAnsi="Garamond"/>
          <w:color w:val="000000" w:themeColor="text1"/>
        </w:rPr>
        <w:t xml:space="preserve">among </w:t>
      </w:r>
      <w:r w:rsidR="00474CDF">
        <w:rPr>
          <w:rFonts w:ascii="Garamond" w:hAnsi="Garamond"/>
          <w:color w:val="000000" w:themeColor="text1"/>
        </w:rPr>
        <w:t>specific</w:t>
      </w:r>
      <w:r w:rsidR="003E1CD0">
        <w:rPr>
          <w:rFonts w:ascii="Garamond" w:hAnsi="Garamond"/>
          <w:color w:val="000000" w:themeColor="text1"/>
        </w:rPr>
        <w:t xml:space="preserve"> health outcomes</w:t>
      </w:r>
      <w:r w:rsidR="00196F0B">
        <w:rPr>
          <w:rFonts w:ascii="Garamond" w:hAnsi="Garamond"/>
          <w:color w:val="000000" w:themeColor="text1"/>
        </w:rPr>
        <w:t>,</w:t>
      </w:r>
      <w:r w:rsidR="00D04A68">
        <w:rPr>
          <w:rFonts w:ascii="Garamond" w:hAnsi="Garamond"/>
          <w:color w:val="000000" w:themeColor="text1"/>
        </w:rPr>
        <w:t xml:space="preserve"> </w:t>
      </w:r>
      <w:r w:rsidR="003E1CD0">
        <w:rPr>
          <w:rFonts w:ascii="Garamond" w:hAnsi="Garamond"/>
          <w:color w:val="000000" w:themeColor="text1"/>
        </w:rPr>
        <w:t xml:space="preserve">environmental </w:t>
      </w:r>
      <w:r w:rsidR="00203B55">
        <w:rPr>
          <w:rFonts w:ascii="Garamond" w:hAnsi="Garamond"/>
          <w:color w:val="000000" w:themeColor="text1"/>
        </w:rPr>
        <w:t xml:space="preserve">design and </w:t>
      </w:r>
      <w:r w:rsidR="003E1CD0">
        <w:rPr>
          <w:rFonts w:ascii="Garamond" w:hAnsi="Garamond"/>
          <w:color w:val="000000" w:themeColor="text1"/>
        </w:rPr>
        <w:t>interventions</w:t>
      </w:r>
      <w:r w:rsidR="00203B55">
        <w:rPr>
          <w:rFonts w:ascii="Garamond" w:hAnsi="Garamond"/>
          <w:color w:val="000000" w:themeColor="text1"/>
        </w:rPr>
        <w:t>,</w:t>
      </w:r>
      <w:r w:rsidR="003E1CD0">
        <w:rPr>
          <w:rFonts w:ascii="Garamond" w:hAnsi="Garamond"/>
          <w:color w:val="000000" w:themeColor="text1"/>
        </w:rPr>
        <w:t xml:space="preserve"> </w:t>
      </w:r>
      <w:r w:rsidR="00474CDF">
        <w:rPr>
          <w:rFonts w:ascii="Garamond" w:hAnsi="Garamond"/>
          <w:color w:val="000000" w:themeColor="text1"/>
        </w:rPr>
        <w:t xml:space="preserve">and subsequent </w:t>
      </w:r>
      <w:r w:rsidR="003E1CD0">
        <w:rPr>
          <w:rFonts w:ascii="Garamond" w:hAnsi="Garamond"/>
          <w:color w:val="000000" w:themeColor="text1"/>
        </w:rPr>
        <w:t xml:space="preserve">behavioral responses.  </w:t>
      </w:r>
    </w:p>
    <w:p w14:paraId="7FBF31DB" w14:textId="04615CFB" w:rsidR="00A13148" w:rsidRPr="00EF269F" w:rsidRDefault="009E2C84" w:rsidP="001E1A32">
      <w:pPr>
        <w:pStyle w:val="ListParagraph"/>
        <w:numPr>
          <w:ilvl w:val="1"/>
          <w:numId w:val="5"/>
        </w:numPr>
        <w:rPr>
          <w:rFonts w:ascii="Garamond" w:hAnsi="Garamond"/>
          <w:color w:val="000000" w:themeColor="text1"/>
        </w:rPr>
      </w:pPr>
      <w:r>
        <w:rPr>
          <w:rFonts w:ascii="Garamond" w:hAnsi="Garamond"/>
          <w:color w:val="000000" w:themeColor="text1"/>
        </w:rPr>
        <w:t>Identify and research e</w:t>
      </w:r>
      <w:r w:rsidR="008B515F">
        <w:rPr>
          <w:rFonts w:ascii="Garamond" w:hAnsi="Garamond"/>
          <w:color w:val="000000" w:themeColor="text1"/>
        </w:rPr>
        <w:t xml:space="preserve">conomic </w:t>
      </w:r>
      <w:r w:rsidR="00474CDF">
        <w:rPr>
          <w:rFonts w:ascii="Garamond" w:hAnsi="Garamond"/>
          <w:color w:val="000000" w:themeColor="text1"/>
        </w:rPr>
        <w:t>links between</w:t>
      </w:r>
      <w:r w:rsidR="003E1CD0" w:rsidRPr="00EF269F">
        <w:rPr>
          <w:rFonts w:ascii="Garamond" w:hAnsi="Garamond"/>
          <w:color w:val="000000" w:themeColor="text1"/>
        </w:rPr>
        <w:t xml:space="preserve"> built environment </w:t>
      </w:r>
      <w:r w:rsidR="007D64F4" w:rsidRPr="00EF269F">
        <w:rPr>
          <w:rFonts w:ascii="Garamond" w:hAnsi="Garamond"/>
          <w:color w:val="000000" w:themeColor="text1"/>
        </w:rPr>
        <w:t xml:space="preserve">capital </w:t>
      </w:r>
      <w:r w:rsidR="00474CDF">
        <w:rPr>
          <w:rFonts w:ascii="Garamond" w:hAnsi="Garamond"/>
          <w:color w:val="000000" w:themeColor="text1"/>
        </w:rPr>
        <w:t>expenditures</w:t>
      </w:r>
      <w:r w:rsidR="00474CDF" w:rsidRPr="00EF269F">
        <w:rPr>
          <w:rFonts w:ascii="Garamond" w:hAnsi="Garamond"/>
          <w:color w:val="000000" w:themeColor="text1"/>
        </w:rPr>
        <w:t xml:space="preserve"> </w:t>
      </w:r>
      <w:r w:rsidR="00474CDF">
        <w:rPr>
          <w:rFonts w:ascii="Garamond" w:hAnsi="Garamond"/>
          <w:color w:val="000000" w:themeColor="text1"/>
        </w:rPr>
        <w:t>and</w:t>
      </w:r>
      <w:r w:rsidR="007D64F4" w:rsidRPr="00EF269F">
        <w:rPr>
          <w:rFonts w:ascii="Garamond" w:hAnsi="Garamond"/>
          <w:color w:val="000000" w:themeColor="text1"/>
        </w:rPr>
        <w:t xml:space="preserve"> </w:t>
      </w:r>
      <w:r w:rsidR="003E1CD0" w:rsidRPr="00EF269F">
        <w:rPr>
          <w:rFonts w:ascii="Garamond" w:hAnsi="Garamond"/>
          <w:color w:val="000000" w:themeColor="text1"/>
        </w:rPr>
        <w:t xml:space="preserve">return on investment (ROI) </w:t>
      </w:r>
      <w:r w:rsidR="008B515F">
        <w:rPr>
          <w:rFonts w:ascii="Garamond" w:hAnsi="Garamond"/>
          <w:color w:val="000000" w:themeColor="text1"/>
        </w:rPr>
        <w:t>based on health outcomes.</w:t>
      </w:r>
      <w:r w:rsidR="00F4637B" w:rsidRPr="00EF269F">
        <w:rPr>
          <w:rFonts w:ascii="Garamond" w:hAnsi="Garamond"/>
          <w:color w:val="000000" w:themeColor="text1"/>
        </w:rPr>
        <w:t xml:space="preserve"> </w:t>
      </w:r>
    </w:p>
    <w:p w14:paraId="5084D801" w14:textId="3ECE673E" w:rsidR="00A13148" w:rsidRDefault="003C451B" w:rsidP="00A13148">
      <w:pPr>
        <w:pStyle w:val="ListParagraph"/>
        <w:numPr>
          <w:ilvl w:val="1"/>
          <w:numId w:val="5"/>
        </w:numPr>
        <w:rPr>
          <w:rFonts w:ascii="Garamond" w:hAnsi="Garamond"/>
          <w:color w:val="000000" w:themeColor="text1"/>
        </w:rPr>
      </w:pPr>
      <w:r>
        <w:rPr>
          <w:rFonts w:ascii="Garamond" w:hAnsi="Garamond"/>
          <w:color w:val="000000" w:themeColor="text1"/>
        </w:rPr>
        <w:t>Conduct r</w:t>
      </w:r>
      <w:r w:rsidR="009E2C84">
        <w:rPr>
          <w:rFonts w:ascii="Garamond" w:hAnsi="Garamond"/>
          <w:color w:val="000000" w:themeColor="text1"/>
        </w:rPr>
        <w:t>esearch that demonstrates i</w:t>
      </w:r>
      <w:r w:rsidR="00474CDF">
        <w:rPr>
          <w:rFonts w:ascii="Garamond" w:hAnsi="Garamond"/>
          <w:color w:val="000000" w:themeColor="text1"/>
        </w:rPr>
        <w:t>mproved</w:t>
      </w:r>
      <w:r w:rsidR="008B515F">
        <w:rPr>
          <w:rFonts w:ascii="Garamond" w:hAnsi="Garamond"/>
          <w:color w:val="000000" w:themeColor="text1"/>
        </w:rPr>
        <w:t xml:space="preserve"> defin</w:t>
      </w:r>
      <w:r w:rsidR="00474CDF">
        <w:rPr>
          <w:rFonts w:ascii="Garamond" w:hAnsi="Garamond"/>
          <w:color w:val="000000" w:themeColor="text1"/>
        </w:rPr>
        <w:t>ition</w:t>
      </w:r>
      <w:r w:rsidR="008B515F">
        <w:rPr>
          <w:rFonts w:ascii="Garamond" w:hAnsi="Garamond"/>
          <w:color w:val="000000" w:themeColor="text1"/>
        </w:rPr>
        <w:t xml:space="preserve"> and </w:t>
      </w:r>
      <w:r w:rsidR="00F4637B">
        <w:rPr>
          <w:rFonts w:ascii="Garamond" w:hAnsi="Garamond"/>
          <w:color w:val="000000" w:themeColor="text1"/>
        </w:rPr>
        <w:t>measure</w:t>
      </w:r>
      <w:r w:rsidR="00474CDF">
        <w:rPr>
          <w:rFonts w:ascii="Garamond" w:hAnsi="Garamond"/>
          <w:color w:val="000000" w:themeColor="text1"/>
        </w:rPr>
        <w:t>ment of</w:t>
      </w:r>
      <w:r w:rsidR="00A13148">
        <w:rPr>
          <w:rFonts w:ascii="Garamond" w:hAnsi="Garamond"/>
          <w:color w:val="000000" w:themeColor="text1"/>
        </w:rPr>
        <w:t xml:space="preserve"> </w:t>
      </w:r>
      <w:r w:rsidR="00F4637B">
        <w:rPr>
          <w:rFonts w:ascii="Garamond" w:hAnsi="Garamond"/>
          <w:color w:val="000000" w:themeColor="text1"/>
        </w:rPr>
        <w:t xml:space="preserve">“presenteeism” in relationship to environmental conditions </w:t>
      </w:r>
      <w:r w:rsidR="00A13148">
        <w:rPr>
          <w:rFonts w:ascii="Garamond" w:hAnsi="Garamond"/>
          <w:color w:val="000000" w:themeColor="text1"/>
        </w:rPr>
        <w:t>and pr</w:t>
      </w:r>
      <w:r w:rsidR="00F4637B">
        <w:rPr>
          <w:rFonts w:ascii="Garamond" w:hAnsi="Garamond"/>
          <w:color w:val="000000" w:themeColor="text1"/>
        </w:rPr>
        <w:t>oductivity</w:t>
      </w:r>
      <w:r w:rsidR="00A13148">
        <w:rPr>
          <w:rFonts w:ascii="Garamond" w:hAnsi="Garamond"/>
          <w:color w:val="000000" w:themeColor="text1"/>
        </w:rPr>
        <w:t>.</w:t>
      </w:r>
    </w:p>
    <w:p w14:paraId="5CA0764F" w14:textId="175FE829" w:rsidR="009E2C84" w:rsidRDefault="003C451B" w:rsidP="007C21FF">
      <w:pPr>
        <w:pStyle w:val="ListParagraph"/>
        <w:numPr>
          <w:ilvl w:val="1"/>
          <w:numId w:val="5"/>
        </w:numPr>
        <w:rPr>
          <w:rFonts w:ascii="Garamond" w:hAnsi="Garamond"/>
          <w:color w:val="000000" w:themeColor="text1"/>
        </w:rPr>
      </w:pPr>
      <w:r>
        <w:rPr>
          <w:rFonts w:ascii="Garamond" w:hAnsi="Garamond"/>
          <w:color w:val="000000" w:themeColor="text1"/>
        </w:rPr>
        <w:t>Condu</w:t>
      </w:r>
      <w:r w:rsidR="00EA7E1C">
        <w:rPr>
          <w:rFonts w:ascii="Garamond" w:hAnsi="Garamond"/>
          <w:color w:val="000000" w:themeColor="text1"/>
        </w:rPr>
        <w:t>c</w:t>
      </w:r>
      <w:r>
        <w:rPr>
          <w:rFonts w:ascii="Garamond" w:hAnsi="Garamond"/>
          <w:color w:val="000000" w:themeColor="text1"/>
        </w:rPr>
        <w:t>t r</w:t>
      </w:r>
      <w:r w:rsidR="007C21FF" w:rsidRPr="007C21FF">
        <w:rPr>
          <w:rFonts w:ascii="Garamond" w:hAnsi="Garamond"/>
          <w:color w:val="000000" w:themeColor="text1"/>
        </w:rPr>
        <w:t>esearch aimed at identifying and validating the environmental factors and the underlying physiological, cognitive and social mechanisms that are most likely to influence individu</w:t>
      </w:r>
      <w:r w:rsidR="007C21FF">
        <w:rPr>
          <w:rFonts w:ascii="Garamond" w:hAnsi="Garamond"/>
          <w:color w:val="000000" w:themeColor="text1"/>
        </w:rPr>
        <w:t xml:space="preserve">al and group work effectiveness, including </w:t>
      </w:r>
      <w:r w:rsidR="00EA7E1C">
        <w:rPr>
          <w:rFonts w:ascii="Garamond" w:hAnsi="Garamond"/>
          <w:color w:val="000000" w:themeColor="text1"/>
        </w:rPr>
        <w:t>measuring the</w:t>
      </w:r>
      <w:r w:rsidR="00A13148">
        <w:rPr>
          <w:rFonts w:ascii="Garamond" w:hAnsi="Garamond"/>
          <w:color w:val="000000" w:themeColor="text1"/>
        </w:rPr>
        <w:t xml:space="preserve"> i</w:t>
      </w:r>
      <w:r w:rsidR="00F4637B">
        <w:rPr>
          <w:rFonts w:ascii="Garamond" w:hAnsi="Garamond"/>
          <w:color w:val="000000" w:themeColor="text1"/>
        </w:rPr>
        <w:t>mpacts of workplace conditions</w:t>
      </w:r>
      <w:r w:rsidR="009E2C84">
        <w:rPr>
          <w:rFonts w:ascii="Garamond" w:hAnsi="Garamond"/>
          <w:color w:val="000000" w:themeColor="text1"/>
        </w:rPr>
        <w:t>, such as exposure to daylight,</w:t>
      </w:r>
      <w:r w:rsidR="009E2C84">
        <w:rPr>
          <w:rStyle w:val="FootnoteReference"/>
          <w:rFonts w:ascii="Garamond" w:hAnsi="Garamond"/>
          <w:color w:val="000000" w:themeColor="text1"/>
        </w:rPr>
        <w:footnoteReference w:id="3"/>
      </w:r>
      <w:r w:rsidR="009E2C84">
        <w:rPr>
          <w:rFonts w:ascii="Garamond" w:hAnsi="Garamond"/>
          <w:color w:val="000000" w:themeColor="text1"/>
        </w:rPr>
        <w:t xml:space="preserve"> </w:t>
      </w:r>
      <w:r w:rsidR="00F4637B">
        <w:rPr>
          <w:rFonts w:ascii="Garamond" w:hAnsi="Garamond"/>
          <w:color w:val="000000" w:themeColor="text1"/>
        </w:rPr>
        <w:t>on employee stress</w:t>
      </w:r>
      <w:r w:rsidR="00EF269F">
        <w:rPr>
          <w:rStyle w:val="FootnoteReference"/>
          <w:rFonts w:ascii="Garamond" w:hAnsi="Garamond"/>
          <w:color w:val="000000" w:themeColor="text1"/>
        </w:rPr>
        <w:footnoteReference w:id="4"/>
      </w:r>
      <w:r w:rsidR="00A13148">
        <w:rPr>
          <w:rFonts w:ascii="Garamond" w:hAnsi="Garamond"/>
          <w:color w:val="000000" w:themeColor="text1"/>
        </w:rPr>
        <w:t xml:space="preserve">, </w:t>
      </w:r>
      <w:r w:rsidR="009E2C84">
        <w:rPr>
          <w:rFonts w:ascii="Garamond" w:hAnsi="Garamond"/>
          <w:color w:val="000000" w:themeColor="text1"/>
        </w:rPr>
        <w:t xml:space="preserve">worker performance, and </w:t>
      </w:r>
      <w:r w:rsidR="00A13148">
        <w:rPr>
          <w:rFonts w:ascii="Garamond" w:hAnsi="Garamond"/>
          <w:color w:val="000000" w:themeColor="text1"/>
        </w:rPr>
        <w:t>satisfaction</w:t>
      </w:r>
      <w:r w:rsidR="00F4637B">
        <w:rPr>
          <w:rFonts w:ascii="Garamond" w:hAnsi="Garamond"/>
          <w:color w:val="000000" w:themeColor="text1"/>
        </w:rPr>
        <w:t xml:space="preserve"> levels</w:t>
      </w:r>
      <w:r w:rsidR="009E2C84">
        <w:rPr>
          <w:rFonts w:ascii="Garamond" w:hAnsi="Garamond"/>
          <w:color w:val="000000" w:themeColor="text1"/>
        </w:rPr>
        <w:t>.</w:t>
      </w:r>
    </w:p>
    <w:p w14:paraId="003C47CF" w14:textId="5E72291F" w:rsidR="00474CDF" w:rsidRPr="009E2C84" w:rsidRDefault="00A13148" w:rsidP="009E2C84">
      <w:pPr>
        <w:pStyle w:val="ListParagraph"/>
        <w:rPr>
          <w:rFonts w:ascii="Garamond" w:hAnsi="Garamond"/>
          <w:color w:val="000000" w:themeColor="text1"/>
        </w:rPr>
      </w:pPr>
      <w:r>
        <w:rPr>
          <w:rFonts w:ascii="Garamond" w:hAnsi="Garamond"/>
          <w:color w:val="000000" w:themeColor="text1"/>
        </w:rPr>
        <w:t xml:space="preserve"> </w:t>
      </w:r>
    </w:p>
    <w:p w14:paraId="60D6781A" w14:textId="0EECF9FB" w:rsidR="00C16963" w:rsidRPr="00415EFE" w:rsidRDefault="00C16963" w:rsidP="00F9705F">
      <w:pPr>
        <w:pStyle w:val="ListParagraph"/>
        <w:numPr>
          <w:ilvl w:val="0"/>
          <w:numId w:val="5"/>
        </w:numPr>
        <w:rPr>
          <w:rFonts w:ascii="Garamond" w:hAnsi="Garamond"/>
          <w:color w:val="000000" w:themeColor="text1"/>
        </w:rPr>
      </w:pPr>
      <w:r w:rsidRPr="00415EFE">
        <w:rPr>
          <w:rFonts w:ascii="Garamond" w:hAnsi="Garamond"/>
          <w:color w:val="000000" w:themeColor="text1"/>
        </w:rPr>
        <w:t xml:space="preserve">The </w:t>
      </w:r>
      <w:r w:rsidR="006F15AC">
        <w:rPr>
          <w:rFonts w:ascii="Garamond" w:hAnsi="Garamond"/>
          <w:color w:val="000000" w:themeColor="text1"/>
        </w:rPr>
        <w:t>Committee</w:t>
      </w:r>
      <w:r w:rsidRPr="00415EFE">
        <w:rPr>
          <w:rFonts w:ascii="Garamond" w:hAnsi="Garamond"/>
          <w:color w:val="000000" w:themeColor="text1"/>
        </w:rPr>
        <w:t xml:space="preserve"> </w:t>
      </w:r>
      <w:r w:rsidR="00E463DD">
        <w:rPr>
          <w:rFonts w:ascii="Garamond" w:hAnsi="Garamond"/>
          <w:color w:val="000000" w:themeColor="text1"/>
        </w:rPr>
        <w:t>recommends</w:t>
      </w:r>
      <w:r w:rsidR="00E463DD" w:rsidRPr="00415EFE">
        <w:rPr>
          <w:rFonts w:ascii="Garamond" w:hAnsi="Garamond"/>
          <w:color w:val="000000" w:themeColor="text1"/>
        </w:rPr>
        <w:t xml:space="preserve"> </w:t>
      </w:r>
      <w:r w:rsidRPr="00415EFE">
        <w:rPr>
          <w:rFonts w:ascii="Garamond" w:hAnsi="Garamond"/>
          <w:color w:val="000000" w:themeColor="text1"/>
        </w:rPr>
        <w:t xml:space="preserve">that GSA </w:t>
      </w:r>
      <w:r w:rsidRPr="0036131A">
        <w:rPr>
          <w:rFonts w:ascii="Garamond" w:hAnsi="Garamond"/>
          <w:b/>
          <w:color w:val="000000" w:themeColor="text1"/>
        </w:rPr>
        <w:t xml:space="preserve">integrate </w:t>
      </w:r>
      <w:r w:rsidR="00DC056B">
        <w:rPr>
          <w:rFonts w:ascii="Garamond" w:hAnsi="Garamond"/>
          <w:b/>
          <w:color w:val="000000" w:themeColor="text1"/>
        </w:rPr>
        <w:t xml:space="preserve">additional </w:t>
      </w:r>
      <w:r w:rsidRPr="0036131A">
        <w:rPr>
          <w:rFonts w:ascii="Garamond" w:hAnsi="Garamond"/>
          <w:b/>
          <w:color w:val="000000" w:themeColor="text1"/>
        </w:rPr>
        <w:t xml:space="preserve">health and wellness </w:t>
      </w:r>
      <w:r w:rsidR="00D55F81">
        <w:rPr>
          <w:rFonts w:ascii="Garamond" w:hAnsi="Garamond"/>
          <w:b/>
          <w:color w:val="000000" w:themeColor="text1"/>
        </w:rPr>
        <w:t xml:space="preserve">concepts </w:t>
      </w:r>
      <w:r w:rsidRPr="0036131A">
        <w:rPr>
          <w:rFonts w:ascii="Garamond" w:hAnsi="Garamond"/>
          <w:b/>
          <w:color w:val="000000" w:themeColor="text1"/>
        </w:rPr>
        <w:t xml:space="preserve">into </w:t>
      </w:r>
      <w:r w:rsidR="00D55F81">
        <w:rPr>
          <w:rFonts w:ascii="Garamond" w:hAnsi="Garamond"/>
          <w:b/>
          <w:color w:val="000000" w:themeColor="text1"/>
        </w:rPr>
        <w:t>the</w:t>
      </w:r>
      <w:r w:rsidR="002837B3">
        <w:rPr>
          <w:rFonts w:ascii="Garamond" w:hAnsi="Garamond"/>
          <w:b/>
          <w:color w:val="000000" w:themeColor="text1"/>
        </w:rPr>
        <w:t xml:space="preserve"> </w:t>
      </w:r>
      <w:hyperlink r:id="rId8" w:history="1">
        <w:r w:rsidR="00D55F81" w:rsidRPr="00203B55">
          <w:rPr>
            <w:rStyle w:val="Hyperlink"/>
            <w:rFonts w:ascii="Garamond" w:hAnsi="Garamond"/>
            <w:b/>
          </w:rPr>
          <w:t>M</w:t>
        </w:r>
        <w:r w:rsidRPr="00203B55">
          <w:rPr>
            <w:rStyle w:val="Hyperlink"/>
            <w:rFonts w:ascii="Garamond" w:hAnsi="Garamond"/>
            <w:b/>
          </w:rPr>
          <w:t xml:space="preserve">odel </w:t>
        </w:r>
        <w:r w:rsidR="00D55F81" w:rsidRPr="00203B55">
          <w:rPr>
            <w:rStyle w:val="Hyperlink"/>
            <w:rFonts w:ascii="Garamond" w:hAnsi="Garamond"/>
            <w:b/>
          </w:rPr>
          <w:t>Commercial L</w:t>
        </w:r>
        <w:r w:rsidRPr="00203B55">
          <w:rPr>
            <w:rStyle w:val="Hyperlink"/>
            <w:rFonts w:ascii="Garamond" w:hAnsi="Garamond"/>
            <w:b/>
          </w:rPr>
          <w:t xml:space="preserve">easing </w:t>
        </w:r>
        <w:r w:rsidR="00D55F81" w:rsidRPr="00203B55">
          <w:rPr>
            <w:rStyle w:val="Hyperlink"/>
            <w:rFonts w:ascii="Garamond" w:hAnsi="Garamond"/>
            <w:b/>
          </w:rPr>
          <w:t>Provisions</w:t>
        </w:r>
      </w:hyperlink>
      <w:r w:rsidR="00D975F6">
        <w:rPr>
          <w:rFonts w:ascii="Garamond" w:hAnsi="Garamond"/>
          <w:b/>
          <w:color w:val="000000" w:themeColor="text1"/>
        </w:rPr>
        <w:t xml:space="preserve"> previously recommended </w:t>
      </w:r>
      <w:r w:rsidR="002837B3">
        <w:rPr>
          <w:rFonts w:ascii="Garamond" w:hAnsi="Garamond"/>
          <w:b/>
          <w:color w:val="000000" w:themeColor="text1"/>
        </w:rPr>
        <w:t>b</w:t>
      </w:r>
      <w:r w:rsidR="00D975F6">
        <w:rPr>
          <w:rFonts w:ascii="Garamond" w:hAnsi="Garamond"/>
          <w:b/>
          <w:color w:val="000000" w:themeColor="text1"/>
        </w:rPr>
        <w:t>y the Committee</w:t>
      </w:r>
      <w:r w:rsidR="002837B3">
        <w:rPr>
          <w:rFonts w:ascii="Garamond" w:hAnsi="Garamond"/>
          <w:b/>
          <w:color w:val="000000" w:themeColor="text1"/>
        </w:rPr>
        <w:t xml:space="preserve"> </w:t>
      </w:r>
      <w:r w:rsidR="002837B3">
        <w:rPr>
          <w:rFonts w:ascii="Garamond" w:hAnsi="Garamond"/>
          <w:color w:val="000000" w:themeColor="text1"/>
        </w:rPr>
        <w:t>on December 12, 2016.</w:t>
      </w:r>
    </w:p>
    <w:p w14:paraId="2B9B0924" w14:textId="77777777" w:rsidR="00D04ABB" w:rsidRDefault="00D04ABB" w:rsidP="005843FD">
      <w:pPr>
        <w:rPr>
          <w:rFonts w:ascii="Garamond" w:hAnsi="Garamond"/>
          <w:b/>
          <w:color w:val="000000" w:themeColor="text1"/>
        </w:rPr>
      </w:pPr>
    </w:p>
    <w:p w14:paraId="2F0565E7" w14:textId="77777777" w:rsidR="00712957" w:rsidRDefault="00712957" w:rsidP="008B0698">
      <w:pPr>
        <w:rPr>
          <w:rFonts w:ascii="Garamond" w:hAnsi="Garamond"/>
          <w:b/>
          <w:color w:val="000000" w:themeColor="text1"/>
        </w:rPr>
      </w:pPr>
    </w:p>
    <w:p w14:paraId="5093BECE" w14:textId="126B0758" w:rsidR="008B0698" w:rsidRPr="00387DC8" w:rsidRDefault="008B0698" w:rsidP="00A03DB7">
      <w:pPr>
        <w:pStyle w:val="Heading1"/>
      </w:pPr>
      <w:r w:rsidRPr="00387DC8">
        <w:t xml:space="preserve">Section </w:t>
      </w:r>
      <w:r>
        <w:t>3</w:t>
      </w:r>
      <w:r w:rsidRPr="00387DC8">
        <w:t xml:space="preserve">: </w:t>
      </w:r>
      <w:r w:rsidR="006B7617">
        <w:t xml:space="preserve">Resources and </w:t>
      </w:r>
      <w:r w:rsidRPr="00387DC8">
        <w:t xml:space="preserve">Tools for Implementing Recommendations </w:t>
      </w:r>
    </w:p>
    <w:p w14:paraId="4F0BCF02" w14:textId="77777777" w:rsidR="008B0698" w:rsidRDefault="008B0698" w:rsidP="008B0698">
      <w:pPr>
        <w:rPr>
          <w:rFonts w:ascii="Garamond" w:hAnsi="Garamond"/>
          <w:color w:val="000000" w:themeColor="text1"/>
        </w:rPr>
      </w:pPr>
    </w:p>
    <w:p w14:paraId="21F2692F" w14:textId="69243F08" w:rsidR="008B0698" w:rsidRPr="0020436E" w:rsidRDefault="001E721D" w:rsidP="00A03DB7">
      <w:pPr>
        <w:pStyle w:val="Heading2"/>
      </w:pPr>
      <w:r>
        <w:lastRenderedPageBreak/>
        <w:t xml:space="preserve">Section 3a: </w:t>
      </w:r>
      <w:r w:rsidR="0075176D">
        <w:t xml:space="preserve">Health and Wellness </w:t>
      </w:r>
      <w:r w:rsidR="001564E7">
        <w:t xml:space="preserve">Guidance </w:t>
      </w:r>
      <w:r w:rsidR="0075176D">
        <w:t xml:space="preserve">Crosswalk </w:t>
      </w:r>
    </w:p>
    <w:p w14:paraId="6BB9FB60" w14:textId="48EF8767" w:rsidR="008B0698" w:rsidRDefault="00FD1078" w:rsidP="008B0698">
      <w:pPr>
        <w:rPr>
          <w:rFonts w:ascii="Garamond" w:hAnsi="Garamond"/>
          <w:color w:val="000000" w:themeColor="text1"/>
        </w:rPr>
      </w:pPr>
      <w:r>
        <w:rPr>
          <w:rFonts w:ascii="Garamond" w:hAnsi="Garamond"/>
          <w:color w:val="000000" w:themeColor="text1"/>
        </w:rPr>
        <w:t>T</w:t>
      </w:r>
      <w:r w:rsidR="008B0698" w:rsidRPr="00485B6D">
        <w:rPr>
          <w:rFonts w:ascii="Garamond" w:hAnsi="Garamond"/>
          <w:color w:val="000000" w:themeColor="text1"/>
        </w:rPr>
        <w:t xml:space="preserve">he </w:t>
      </w:r>
      <w:r w:rsidR="005D5406">
        <w:rPr>
          <w:rFonts w:ascii="Garamond" w:hAnsi="Garamond"/>
          <w:color w:val="000000" w:themeColor="text1"/>
        </w:rPr>
        <w:t xml:space="preserve">Task Group reviewed and compiled </w:t>
      </w:r>
      <w:r w:rsidR="008B0698" w:rsidRPr="00485B6D">
        <w:rPr>
          <w:rFonts w:ascii="Garamond" w:hAnsi="Garamond"/>
          <w:color w:val="000000" w:themeColor="text1"/>
        </w:rPr>
        <w:t xml:space="preserve">various guidelines, standards and </w:t>
      </w:r>
      <w:r w:rsidR="00EB4C3D">
        <w:rPr>
          <w:rFonts w:ascii="Garamond" w:hAnsi="Garamond"/>
          <w:color w:val="000000" w:themeColor="text1"/>
        </w:rPr>
        <w:t>building rating systems</w:t>
      </w:r>
      <w:r w:rsidR="008B0698" w:rsidRPr="00485B6D">
        <w:rPr>
          <w:rFonts w:ascii="Garamond" w:hAnsi="Garamond"/>
          <w:color w:val="000000" w:themeColor="text1"/>
        </w:rPr>
        <w:t xml:space="preserve"> focusing on </w:t>
      </w:r>
      <w:r w:rsidR="00834DA7">
        <w:rPr>
          <w:rFonts w:ascii="Garamond" w:hAnsi="Garamond"/>
          <w:color w:val="000000" w:themeColor="text1"/>
        </w:rPr>
        <w:t>high</w:t>
      </w:r>
      <w:r w:rsidR="00F07E67">
        <w:rPr>
          <w:rFonts w:ascii="Garamond" w:hAnsi="Garamond"/>
          <w:color w:val="000000" w:themeColor="text1"/>
        </w:rPr>
        <w:t>-</w:t>
      </w:r>
      <w:r w:rsidR="00834DA7">
        <w:rPr>
          <w:rFonts w:ascii="Garamond" w:hAnsi="Garamond"/>
          <w:color w:val="000000" w:themeColor="text1"/>
        </w:rPr>
        <w:t>performance</w:t>
      </w:r>
      <w:r w:rsidR="00834DA7" w:rsidRPr="00485B6D">
        <w:rPr>
          <w:rFonts w:ascii="Garamond" w:hAnsi="Garamond"/>
          <w:color w:val="000000" w:themeColor="text1"/>
        </w:rPr>
        <w:t xml:space="preserve"> </w:t>
      </w:r>
      <w:r w:rsidR="008B0698" w:rsidRPr="00485B6D">
        <w:rPr>
          <w:rFonts w:ascii="Garamond" w:hAnsi="Garamond"/>
          <w:color w:val="000000" w:themeColor="text1"/>
        </w:rPr>
        <w:t xml:space="preserve">building and health and wellness </w:t>
      </w:r>
      <w:r>
        <w:rPr>
          <w:rFonts w:ascii="Garamond" w:hAnsi="Garamond"/>
          <w:color w:val="000000" w:themeColor="text1"/>
        </w:rPr>
        <w:t xml:space="preserve">into a crosswalk </w:t>
      </w:r>
      <w:r w:rsidR="008B0698" w:rsidRPr="00485B6D">
        <w:rPr>
          <w:rFonts w:ascii="Garamond" w:hAnsi="Garamond"/>
          <w:color w:val="000000" w:themeColor="text1"/>
        </w:rPr>
        <w:t xml:space="preserve">for </w:t>
      </w:r>
      <w:r w:rsidR="00834DA7">
        <w:rPr>
          <w:rFonts w:ascii="Garamond" w:hAnsi="Garamond"/>
          <w:color w:val="000000" w:themeColor="text1"/>
        </w:rPr>
        <w:t>building professionals</w:t>
      </w:r>
      <w:r w:rsidR="00834DA7" w:rsidRPr="00485B6D">
        <w:rPr>
          <w:rFonts w:ascii="Garamond" w:hAnsi="Garamond"/>
          <w:color w:val="000000" w:themeColor="text1"/>
        </w:rPr>
        <w:t xml:space="preserve"> </w:t>
      </w:r>
      <w:r w:rsidR="008B0698" w:rsidRPr="00485B6D">
        <w:rPr>
          <w:rFonts w:ascii="Garamond" w:hAnsi="Garamond"/>
          <w:color w:val="000000" w:themeColor="text1"/>
        </w:rPr>
        <w:t xml:space="preserve">seeking resources to comply with </w:t>
      </w:r>
      <w:hyperlink r:id="rId9" w:history="1">
        <w:r w:rsidR="00A47FB5">
          <w:rPr>
            <w:rStyle w:val="Hyperlink"/>
            <w:rFonts w:ascii="Garamond" w:hAnsi="Garamond"/>
          </w:rPr>
          <w:t>Federal Guiding Principle</w:t>
        </w:r>
      </w:hyperlink>
      <w:r w:rsidR="00A47FB5" w:rsidRPr="00A47FB5">
        <w:rPr>
          <w:rFonts w:ascii="Garamond" w:hAnsi="Garamond"/>
        </w:rPr>
        <w:t xml:space="preserve"> IV. Enhance Indoor Environmental Quality/14. Occupant Health and Wellness</w:t>
      </w:r>
      <w:r w:rsidR="008B0698" w:rsidRPr="00485B6D">
        <w:rPr>
          <w:rFonts w:ascii="Garamond" w:hAnsi="Garamond"/>
          <w:color w:val="000000" w:themeColor="text1"/>
        </w:rPr>
        <w:t>:</w:t>
      </w:r>
    </w:p>
    <w:p w14:paraId="0FFF765A" w14:textId="77777777" w:rsidR="00742924" w:rsidRPr="00485B6D" w:rsidRDefault="00742924" w:rsidP="008B0698">
      <w:pPr>
        <w:rPr>
          <w:rFonts w:ascii="Garamond" w:hAnsi="Garamond"/>
          <w:color w:val="000000" w:themeColor="text1"/>
        </w:rPr>
      </w:pPr>
    </w:p>
    <w:p w14:paraId="58ED80C5" w14:textId="77777777" w:rsidR="008B0698" w:rsidRPr="00485B6D" w:rsidRDefault="008B0698" w:rsidP="00F226C2">
      <w:pPr>
        <w:ind w:left="720"/>
        <w:rPr>
          <w:rFonts w:ascii="Garamond" w:hAnsi="Garamond"/>
          <w:color w:val="000000" w:themeColor="text1"/>
        </w:rPr>
      </w:pPr>
      <w:r w:rsidRPr="00485B6D">
        <w:rPr>
          <w:rFonts w:ascii="Garamond" w:hAnsi="Garamond"/>
          <w:color w:val="000000" w:themeColor="text1"/>
        </w:rPr>
        <w:t>“Promote opportunities for voluntary increased physical movement of building occupants such as making stairwells an option for circulation, active workstations, fitness centers, and bicycle commuter facilities; and support convenient access to healthy dining options, potable water, daylight</w:t>
      </w:r>
      <w:r>
        <w:rPr>
          <w:rFonts w:ascii="Garamond" w:hAnsi="Garamond"/>
          <w:color w:val="000000" w:themeColor="text1"/>
        </w:rPr>
        <w:t xml:space="preserve">, plants, and exterior views.” </w:t>
      </w:r>
    </w:p>
    <w:p w14:paraId="2A71D8D0" w14:textId="77777777" w:rsidR="008B0698" w:rsidRPr="00485B6D" w:rsidRDefault="008B0698" w:rsidP="008B0698">
      <w:pPr>
        <w:rPr>
          <w:rFonts w:ascii="Garamond" w:hAnsi="Garamond"/>
          <w:color w:val="000000" w:themeColor="text1"/>
        </w:rPr>
      </w:pPr>
    </w:p>
    <w:p w14:paraId="6C9775D5" w14:textId="33F67061" w:rsidR="008B0698" w:rsidRDefault="008B0698" w:rsidP="008B0698">
      <w:pPr>
        <w:rPr>
          <w:rFonts w:ascii="Garamond" w:hAnsi="Garamond"/>
          <w:color w:val="000000" w:themeColor="text1"/>
        </w:rPr>
      </w:pPr>
      <w:r w:rsidRPr="00485B6D">
        <w:rPr>
          <w:rFonts w:ascii="Garamond" w:hAnsi="Garamond"/>
          <w:color w:val="000000" w:themeColor="text1"/>
        </w:rPr>
        <w:t>The goal of the</w:t>
      </w:r>
      <w:r w:rsidR="00026872">
        <w:rPr>
          <w:rFonts w:ascii="Garamond" w:hAnsi="Garamond"/>
          <w:color w:val="000000" w:themeColor="text1"/>
        </w:rPr>
        <w:t xml:space="preserve"> </w:t>
      </w:r>
      <w:r w:rsidR="00FD1078">
        <w:rPr>
          <w:rFonts w:ascii="Garamond" w:hAnsi="Garamond"/>
          <w:color w:val="000000" w:themeColor="text1"/>
        </w:rPr>
        <w:t>Guidance</w:t>
      </w:r>
      <w:r w:rsidR="00FD1078" w:rsidRPr="00485B6D">
        <w:rPr>
          <w:rFonts w:ascii="Garamond" w:hAnsi="Garamond"/>
          <w:color w:val="000000" w:themeColor="text1"/>
        </w:rPr>
        <w:t xml:space="preserve"> </w:t>
      </w:r>
      <w:r w:rsidR="00FD1078">
        <w:rPr>
          <w:rFonts w:ascii="Garamond" w:hAnsi="Garamond"/>
          <w:color w:val="000000" w:themeColor="text1"/>
        </w:rPr>
        <w:t>C</w:t>
      </w:r>
      <w:r w:rsidR="00FD1078" w:rsidRPr="00485B6D">
        <w:rPr>
          <w:rFonts w:ascii="Garamond" w:hAnsi="Garamond"/>
          <w:color w:val="000000" w:themeColor="text1"/>
        </w:rPr>
        <w:t xml:space="preserve">rosswalk </w:t>
      </w:r>
      <w:r w:rsidRPr="00485B6D">
        <w:rPr>
          <w:rFonts w:ascii="Garamond" w:hAnsi="Garamond"/>
          <w:color w:val="000000" w:themeColor="text1"/>
        </w:rPr>
        <w:t xml:space="preserve">is to </w:t>
      </w:r>
      <w:r w:rsidR="00D975F6">
        <w:rPr>
          <w:rFonts w:ascii="Garamond" w:hAnsi="Garamond"/>
          <w:color w:val="000000" w:themeColor="text1"/>
        </w:rPr>
        <w:t>direct</w:t>
      </w:r>
      <w:r w:rsidR="00D975F6" w:rsidRPr="00485B6D">
        <w:rPr>
          <w:rFonts w:ascii="Garamond" w:hAnsi="Garamond"/>
          <w:color w:val="000000" w:themeColor="text1"/>
        </w:rPr>
        <w:t xml:space="preserve"> </w:t>
      </w:r>
      <w:r w:rsidRPr="00485B6D">
        <w:rPr>
          <w:rFonts w:ascii="Garamond" w:hAnsi="Garamond"/>
          <w:color w:val="000000" w:themeColor="text1"/>
        </w:rPr>
        <w:t xml:space="preserve">facility managers, design professionals, planners, programmers, tenants, and owners </w:t>
      </w:r>
      <w:r w:rsidR="00D975F6">
        <w:rPr>
          <w:rFonts w:ascii="Garamond" w:hAnsi="Garamond"/>
          <w:color w:val="000000" w:themeColor="text1"/>
        </w:rPr>
        <w:t>to provisions of</w:t>
      </w:r>
      <w:r w:rsidR="00D975F6" w:rsidRPr="00485B6D">
        <w:rPr>
          <w:rFonts w:ascii="Garamond" w:hAnsi="Garamond"/>
          <w:color w:val="000000" w:themeColor="text1"/>
        </w:rPr>
        <w:t xml:space="preserve"> </w:t>
      </w:r>
      <w:r w:rsidRPr="00485B6D">
        <w:rPr>
          <w:rFonts w:ascii="Garamond" w:hAnsi="Garamond"/>
          <w:color w:val="000000" w:themeColor="text1"/>
        </w:rPr>
        <w:t xml:space="preserve">readily available </w:t>
      </w:r>
      <w:r w:rsidR="00946AF2">
        <w:rPr>
          <w:rFonts w:ascii="Garamond" w:hAnsi="Garamond"/>
          <w:color w:val="000000" w:themeColor="text1"/>
        </w:rPr>
        <w:t>standards</w:t>
      </w:r>
      <w:r w:rsidR="00765819">
        <w:rPr>
          <w:rFonts w:ascii="Garamond" w:hAnsi="Garamond"/>
          <w:color w:val="000000" w:themeColor="text1"/>
        </w:rPr>
        <w:t xml:space="preserve">, guidelines, and </w:t>
      </w:r>
      <w:r w:rsidR="00EB4C3D">
        <w:rPr>
          <w:rFonts w:ascii="Garamond" w:hAnsi="Garamond"/>
          <w:color w:val="000000" w:themeColor="text1"/>
        </w:rPr>
        <w:t>building rating systems</w:t>
      </w:r>
      <w:r w:rsidR="00765819">
        <w:rPr>
          <w:rFonts w:ascii="Garamond" w:hAnsi="Garamond"/>
          <w:color w:val="000000" w:themeColor="text1"/>
        </w:rPr>
        <w:t xml:space="preserve"> </w:t>
      </w:r>
      <w:r w:rsidRPr="00485B6D">
        <w:rPr>
          <w:rFonts w:ascii="Garamond" w:hAnsi="Garamond"/>
          <w:color w:val="000000" w:themeColor="text1"/>
        </w:rPr>
        <w:t xml:space="preserve">for meeting </w:t>
      </w:r>
      <w:r w:rsidR="00D975F6">
        <w:rPr>
          <w:rFonts w:ascii="Garamond" w:hAnsi="Garamond"/>
          <w:color w:val="000000" w:themeColor="text1"/>
        </w:rPr>
        <w:t xml:space="preserve">specific </w:t>
      </w:r>
      <w:r w:rsidRPr="00485B6D">
        <w:rPr>
          <w:rFonts w:ascii="Garamond" w:hAnsi="Garamond"/>
          <w:color w:val="000000" w:themeColor="text1"/>
        </w:rPr>
        <w:t>health and wellness goals</w:t>
      </w:r>
      <w:r w:rsidR="00A25614">
        <w:rPr>
          <w:rFonts w:ascii="Garamond" w:hAnsi="Garamond"/>
          <w:color w:val="000000" w:themeColor="text1"/>
        </w:rPr>
        <w:t xml:space="preserve">, </w:t>
      </w:r>
      <w:r w:rsidR="00953BD8">
        <w:rPr>
          <w:rFonts w:ascii="Garamond" w:hAnsi="Garamond"/>
          <w:color w:val="000000" w:themeColor="text1"/>
        </w:rPr>
        <w:t xml:space="preserve">to assist them </w:t>
      </w:r>
      <w:r w:rsidR="00A25614">
        <w:rPr>
          <w:rFonts w:ascii="Garamond" w:hAnsi="Garamond"/>
          <w:color w:val="000000" w:themeColor="text1"/>
        </w:rPr>
        <w:t>in making well-informed design and operational decisions</w:t>
      </w:r>
      <w:r w:rsidRPr="00485B6D">
        <w:rPr>
          <w:rFonts w:ascii="Garamond" w:hAnsi="Garamond"/>
          <w:color w:val="000000" w:themeColor="text1"/>
        </w:rPr>
        <w:t>.  Th</w:t>
      </w:r>
      <w:r w:rsidR="0021738A">
        <w:rPr>
          <w:rFonts w:ascii="Garamond" w:hAnsi="Garamond"/>
          <w:color w:val="000000" w:themeColor="text1"/>
        </w:rPr>
        <w:t xml:space="preserve">is </w:t>
      </w:r>
      <w:r w:rsidR="00FD1078">
        <w:rPr>
          <w:rFonts w:ascii="Garamond" w:hAnsi="Garamond"/>
          <w:color w:val="000000" w:themeColor="text1"/>
        </w:rPr>
        <w:t xml:space="preserve">Crosswalk </w:t>
      </w:r>
      <w:r w:rsidR="00946AF2">
        <w:rPr>
          <w:rFonts w:ascii="Garamond" w:hAnsi="Garamond"/>
          <w:color w:val="000000" w:themeColor="text1"/>
        </w:rPr>
        <w:t xml:space="preserve">is </w:t>
      </w:r>
      <w:r w:rsidR="00FD1078">
        <w:rPr>
          <w:rFonts w:ascii="Garamond" w:hAnsi="Garamond"/>
          <w:color w:val="000000" w:themeColor="text1"/>
        </w:rPr>
        <w:t xml:space="preserve">designed </w:t>
      </w:r>
      <w:r w:rsidR="00946AF2">
        <w:rPr>
          <w:rFonts w:ascii="Garamond" w:hAnsi="Garamond"/>
          <w:color w:val="000000" w:themeColor="text1"/>
        </w:rPr>
        <w:t xml:space="preserve">to help these </w:t>
      </w:r>
      <w:r w:rsidR="00674E91">
        <w:rPr>
          <w:rFonts w:ascii="Garamond" w:hAnsi="Garamond"/>
          <w:color w:val="000000" w:themeColor="text1"/>
        </w:rPr>
        <w:t>stakeholders</w:t>
      </w:r>
      <w:r w:rsidR="0021738A">
        <w:rPr>
          <w:rFonts w:ascii="Garamond" w:hAnsi="Garamond"/>
          <w:color w:val="000000" w:themeColor="text1"/>
        </w:rPr>
        <w:t xml:space="preserve"> </w:t>
      </w:r>
      <w:r w:rsidRPr="00485B6D">
        <w:rPr>
          <w:rFonts w:ascii="Garamond" w:hAnsi="Garamond"/>
          <w:color w:val="000000" w:themeColor="text1"/>
        </w:rPr>
        <w:t xml:space="preserve">meet </w:t>
      </w:r>
      <w:r w:rsidR="00FD1078">
        <w:rPr>
          <w:rFonts w:ascii="Garamond" w:hAnsi="Garamond"/>
          <w:color w:val="000000" w:themeColor="text1"/>
        </w:rPr>
        <w:t>Federal requirements</w:t>
      </w:r>
      <w:r w:rsidRPr="00485B6D">
        <w:rPr>
          <w:rFonts w:ascii="Garamond" w:hAnsi="Garamond"/>
          <w:color w:val="000000" w:themeColor="text1"/>
        </w:rPr>
        <w:t>, establish operational health and wellness goals during cycle renovations, and/or explor</w:t>
      </w:r>
      <w:r w:rsidR="00946AF2">
        <w:rPr>
          <w:rFonts w:ascii="Garamond" w:hAnsi="Garamond"/>
          <w:color w:val="000000" w:themeColor="text1"/>
        </w:rPr>
        <w:t>e options</w:t>
      </w:r>
      <w:r w:rsidRPr="00485B6D">
        <w:rPr>
          <w:rFonts w:ascii="Garamond" w:hAnsi="Garamond"/>
          <w:color w:val="000000" w:themeColor="text1"/>
        </w:rPr>
        <w:t xml:space="preserve"> as part of the initial programming for re-positioning existing buildings/spaces. The </w:t>
      </w:r>
      <w:r w:rsidR="00FD1078">
        <w:rPr>
          <w:rFonts w:ascii="Garamond" w:hAnsi="Garamond"/>
          <w:color w:val="000000" w:themeColor="text1"/>
        </w:rPr>
        <w:t xml:space="preserve">Crosswalk </w:t>
      </w:r>
      <w:r w:rsidR="00765819">
        <w:rPr>
          <w:rFonts w:ascii="Garamond" w:hAnsi="Garamond"/>
          <w:color w:val="000000" w:themeColor="text1"/>
        </w:rPr>
        <w:t>is</w:t>
      </w:r>
      <w:r w:rsidRPr="00485B6D">
        <w:rPr>
          <w:rFonts w:ascii="Garamond" w:hAnsi="Garamond"/>
          <w:color w:val="000000" w:themeColor="text1"/>
        </w:rPr>
        <w:t xml:space="preserve"> provided with the intent </w:t>
      </w:r>
      <w:r w:rsidR="00154625">
        <w:rPr>
          <w:rFonts w:ascii="Garamond" w:hAnsi="Garamond"/>
          <w:color w:val="000000" w:themeColor="text1"/>
        </w:rPr>
        <w:t>for</w:t>
      </w:r>
      <w:r w:rsidRPr="00485B6D">
        <w:rPr>
          <w:rFonts w:ascii="Garamond" w:hAnsi="Garamond"/>
          <w:color w:val="000000" w:themeColor="text1"/>
        </w:rPr>
        <w:t xml:space="preserve"> the criteria to be chosen that best suit the conditions available – promoting health and wellness within existing building constraints as </w:t>
      </w:r>
      <w:r w:rsidR="00946AF2">
        <w:rPr>
          <w:rFonts w:ascii="Garamond" w:hAnsi="Garamond"/>
          <w:color w:val="000000" w:themeColor="text1"/>
        </w:rPr>
        <w:t>optimally</w:t>
      </w:r>
      <w:r w:rsidR="00946AF2" w:rsidRPr="00485B6D">
        <w:rPr>
          <w:rFonts w:ascii="Garamond" w:hAnsi="Garamond"/>
          <w:color w:val="000000" w:themeColor="text1"/>
        </w:rPr>
        <w:t xml:space="preserve"> </w:t>
      </w:r>
      <w:r w:rsidRPr="00485B6D">
        <w:rPr>
          <w:rFonts w:ascii="Garamond" w:hAnsi="Garamond"/>
          <w:color w:val="000000" w:themeColor="text1"/>
        </w:rPr>
        <w:t>as possible.</w:t>
      </w:r>
    </w:p>
    <w:p w14:paraId="09905728" w14:textId="77777777" w:rsidR="008B0698" w:rsidRPr="00485B6D" w:rsidRDefault="008B0698" w:rsidP="008B0698">
      <w:pPr>
        <w:rPr>
          <w:rFonts w:ascii="Garamond" w:hAnsi="Garamond"/>
          <w:color w:val="000000" w:themeColor="text1"/>
        </w:rPr>
      </w:pPr>
    </w:p>
    <w:p w14:paraId="614DD3D6" w14:textId="458A56EC" w:rsidR="0075176D" w:rsidRPr="00A03DB7" w:rsidRDefault="0075176D" w:rsidP="00A03DB7">
      <w:pPr>
        <w:pStyle w:val="Heading3"/>
      </w:pPr>
      <w:r>
        <w:t xml:space="preserve">Resources Referenced in the </w:t>
      </w:r>
      <w:r w:rsidR="00EC68D3">
        <w:t xml:space="preserve">Guidance </w:t>
      </w:r>
      <w:r>
        <w:t xml:space="preserve">Crosswalk </w:t>
      </w:r>
    </w:p>
    <w:p w14:paraId="016C46DE" w14:textId="11FCE6D2" w:rsidR="008B0698" w:rsidRPr="00485B6D" w:rsidRDefault="008B0698" w:rsidP="008B0698">
      <w:pPr>
        <w:rPr>
          <w:rFonts w:ascii="Garamond" w:hAnsi="Garamond"/>
          <w:color w:val="000000" w:themeColor="text1"/>
        </w:rPr>
      </w:pPr>
      <w:r w:rsidRPr="00485B6D">
        <w:rPr>
          <w:rFonts w:ascii="Garamond" w:hAnsi="Garamond"/>
          <w:color w:val="000000" w:themeColor="text1"/>
        </w:rPr>
        <w:t xml:space="preserve">Numerous </w:t>
      </w:r>
      <w:r w:rsidR="0021738A">
        <w:rPr>
          <w:rFonts w:ascii="Garamond" w:hAnsi="Garamond"/>
          <w:color w:val="000000" w:themeColor="text1"/>
        </w:rPr>
        <w:t>presentations</w:t>
      </w:r>
      <w:r w:rsidRPr="00485B6D">
        <w:rPr>
          <w:rFonts w:ascii="Garamond" w:hAnsi="Garamond"/>
          <w:color w:val="000000" w:themeColor="text1"/>
        </w:rPr>
        <w:t xml:space="preserve"> were provided to the </w:t>
      </w:r>
      <w:r w:rsidR="005E7320">
        <w:rPr>
          <w:rFonts w:ascii="Garamond" w:hAnsi="Garamond"/>
          <w:color w:val="000000" w:themeColor="text1"/>
        </w:rPr>
        <w:t xml:space="preserve">HW </w:t>
      </w:r>
      <w:r w:rsidRPr="00485B6D">
        <w:rPr>
          <w:rFonts w:ascii="Garamond" w:hAnsi="Garamond"/>
          <w:color w:val="000000" w:themeColor="text1"/>
        </w:rPr>
        <w:t xml:space="preserve">Task Group on the recently developed health and wellness focused </w:t>
      </w:r>
      <w:r w:rsidR="00F520DE">
        <w:rPr>
          <w:rFonts w:ascii="Garamond" w:hAnsi="Garamond"/>
          <w:color w:val="000000" w:themeColor="text1"/>
        </w:rPr>
        <w:t>rating systems,</w:t>
      </w:r>
      <w:r w:rsidRPr="00485B6D">
        <w:rPr>
          <w:rFonts w:ascii="Garamond" w:hAnsi="Garamond"/>
          <w:color w:val="000000" w:themeColor="text1"/>
        </w:rPr>
        <w:t xml:space="preserve"> Fitwel and The WELL Building Standard.  Information from the Center</w:t>
      </w:r>
      <w:r w:rsidR="00D975F6">
        <w:rPr>
          <w:rFonts w:ascii="Garamond" w:hAnsi="Garamond"/>
          <w:color w:val="000000" w:themeColor="text1"/>
        </w:rPr>
        <w:t>s</w:t>
      </w:r>
      <w:r w:rsidRPr="00485B6D">
        <w:rPr>
          <w:rFonts w:ascii="Garamond" w:hAnsi="Garamond"/>
          <w:color w:val="000000" w:themeColor="text1"/>
        </w:rPr>
        <w:t xml:space="preserve"> for Disease Control </w:t>
      </w:r>
      <w:r w:rsidR="00D975F6">
        <w:rPr>
          <w:rFonts w:ascii="Garamond" w:hAnsi="Garamond"/>
          <w:color w:val="000000" w:themeColor="text1"/>
        </w:rPr>
        <w:t xml:space="preserve">and Prevention </w:t>
      </w:r>
      <w:r w:rsidRPr="00485B6D">
        <w:rPr>
          <w:rFonts w:ascii="Garamond" w:hAnsi="Garamond"/>
          <w:color w:val="000000" w:themeColor="text1"/>
        </w:rPr>
        <w:t xml:space="preserve">(CDC), the Center for Active Design, and the International WELL Building Institute </w:t>
      </w:r>
      <w:r w:rsidR="0019611C">
        <w:rPr>
          <w:rFonts w:ascii="Garamond" w:hAnsi="Garamond"/>
          <w:color w:val="000000" w:themeColor="text1"/>
        </w:rPr>
        <w:t xml:space="preserve">informed </w:t>
      </w:r>
      <w:r w:rsidR="00CD1694">
        <w:rPr>
          <w:rFonts w:ascii="Garamond" w:hAnsi="Garamond"/>
          <w:color w:val="000000" w:themeColor="text1"/>
        </w:rPr>
        <w:t xml:space="preserve">the </w:t>
      </w:r>
      <w:r w:rsidR="0019611C">
        <w:rPr>
          <w:rFonts w:ascii="Garamond" w:hAnsi="Garamond"/>
          <w:color w:val="000000" w:themeColor="text1"/>
        </w:rPr>
        <w:t xml:space="preserve">HW </w:t>
      </w:r>
      <w:r w:rsidR="00CD1694">
        <w:rPr>
          <w:rFonts w:ascii="Garamond" w:hAnsi="Garamond"/>
          <w:color w:val="000000" w:themeColor="text1"/>
        </w:rPr>
        <w:t>Task Group</w:t>
      </w:r>
      <w:r w:rsidR="00CD1694" w:rsidRPr="00485B6D">
        <w:rPr>
          <w:rFonts w:ascii="Garamond" w:hAnsi="Garamond"/>
          <w:color w:val="000000" w:themeColor="text1"/>
        </w:rPr>
        <w:t xml:space="preserve"> </w:t>
      </w:r>
      <w:r w:rsidR="0019611C">
        <w:rPr>
          <w:rFonts w:ascii="Garamond" w:hAnsi="Garamond"/>
          <w:color w:val="000000" w:themeColor="text1"/>
        </w:rPr>
        <w:t>on</w:t>
      </w:r>
      <w:r w:rsidRPr="00485B6D">
        <w:rPr>
          <w:rFonts w:ascii="Garamond" w:hAnsi="Garamond"/>
          <w:color w:val="000000" w:themeColor="text1"/>
        </w:rPr>
        <w:t xml:space="preserve"> these two </w:t>
      </w:r>
      <w:r w:rsidR="00F520DE">
        <w:rPr>
          <w:rFonts w:ascii="Garamond" w:hAnsi="Garamond"/>
          <w:color w:val="000000" w:themeColor="text1"/>
        </w:rPr>
        <w:t>rating</w:t>
      </w:r>
      <w:r w:rsidR="00F520DE" w:rsidRPr="00485B6D">
        <w:rPr>
          <w:rFonts w:ascii="Garamond" w:hAnsi="Garamond"/>
          <w:color w:val="000000" w:themeColor="text1"/>
        </w:rPr>
        <w:t xml:space="preserve"> </w:t>
      </w:r>
      <w:r w:rsidRPr="00485B6D">
        <w:rPr>
          <w:rFonts w:ascii="Garamond" w:hAnsi="Garamond"/>
          <w:color w:val="000000" w:themeColor="text1"/>
        </w:rPr>
        <w:t>systems</w:t>
      </w:r>
      <w:r w:rsidR="003D12C5">
        <w:rPr>
          <w:rFonts w:ascii="Garamond" w:hAnsi="Garamond"/>
          <w:color w:val="000000" w:themeColor="text1"/>
        </w:rPr>
        <w:t>.</w:t>
      </w:r>
      <w:r w:rsidR="00314E8A">
        <w:rPr>
          <w:rFonts w:ascii="Garamond" w:hAnsi="Garamond"/>
          <w:color w:val="000000" w:themeColor="text1"/>
        </w:rPr>
        <w:t xml:space="preserve"> Appendi</w:t>
      </w:r>
      <w:r w:rsidR="0019611C">
        <w:rPr>
          <w:rFonts w:ascii="Garamond" w:hAnsi="Garamond"/>
          <w:color w:val="000000" w:themeColor="text1"/>
        </w:rPr>
        <w:t>x</w:t>
      </w:r>
      <w:r w:rsidR="00314E8A">
        <w:rPr>
          <w:rFonts w:ascii="Garamond" w:hAnsi="Garamond"/>
          <w:color w:val="000000" w:themeColor="text1"/>
        </w:rPr>
        <w:t xml:space="preserve"> </w:t>
      </w:r>
      <w:r w:rsidR="0019611C">
        <w:rPr>
          <w:rFonts w:ascii="Garamond" w:hAnsi="Garamond"/>
          <w:color w:val="000000" w:themeColor="text1"/>
        </w:rPr>
        <w:t>B</w:t>
      </w:r>
      <w:r w:rsidR="00314E8A">
        <w:rPr>
          <w:rFonts w:ascii="Garamond" w:hAnsi="Garamond"/>
          <w:color w:val="000000" w:themeColor="text1"/>
        </w:rPr>
        <w:t xml:space="preserve"> provide</w:t>
      </w:r>
      <w:r w:rsidR="0019611C">
        <w:rPr>
          <w:rFonts w:ascii="Garamond" w:hAnsi="Garamond"/>
          <w:color w:val="000000" w:themeColor="text1"/>
        </w:rPr>
        <w:t>s</w:t>
      </w:r>
      <w:r w:rsidR="00314E8A">
        <w:rPr>
          <w:rFonts w:ascii="Garamond" w:hAnsi="Garamond"/>
          <w:color w:val="000000" w:themeColor="text1"/>
        </w:rPr>
        <w:t xml:space="preserve"> </w:t>
      </w:r>
      <w:r w:rsidR="0019611C">
        <w:rPr>
          <w:rFonts w:ascii="Garamond" w:hAnsi="Garamond"/>
          <w:color w:val="000000" w:themeColor="text1"/>
        </w:rPr>
        <w:t>Matrices of Credits Offered Under Fitwel and the WELL Building Standard.</w:t>
      </w:r>
      <w:r w:rsidRPr="00485B6D">
        <w:rPr>
          <w:rFonts w:ascii="Garamond" w:hAnsi="Garamond"/>
          <w:color w:val="000000" w:themeColor="text1"/>
        </w:rPr>
        <w:t xml:space="preserve"> </w:t>
      </w:r>
      <w:r w:rsidR="005D5406">
        <w:rPr>
          <w:rFonts w:ascii="Garamond" w:hAnsi="Garamond"/>
          <w:color w:val="000000" w:themeColor="text1"/>
        </w:rPr>
        <w:t>Including</w:t>
      </w:r>
      <w:r w:rsidR="00F520DE">
        <w:rPr>
          <w:rFonts w:ascii="Garamond" w:hAnsi="Garamond"/>
          <w:color w:val="000000" w:themeColor="text1"/>
        </w:rPr>
        <w:t xml:space="preserve"> these two systems, t</w:t>
      </w:r>
      <w:r w:rsidRPr="00485B6D">
        <w:rPr>
          <w:rFonts w:ascii="Garamond" w:hAnsi="Garamond"/>
          <w:color w:val="000000" w:themeColor="text1"/>
        </w:rPr>
        <w:t xml:space="preserve">he following guidelines, standards, and </w:t>
      </w:r>
      <w:r w:rsidR="00EB4C3D">
        <w:rPr>
          <w:rFonts w:ascii="Garamond" w:hAnsi="Garamond"/>
          <w:color w:val="000000" w:themeColor="text1"/>
        </w:rPr>
        <w:t>building rating systems</w:t>
      </w:r>
      <w:r w:rsidRPr="00485B6D">
        <w:rPr>
          <w:rFonts w:ascii="Garamond" w:hAnsi="Garamond"/>
          <w:color w:val="000000" w:themeColor="text1"/>
        </w:rPr>
        <w:t xml:space="preserve"> </w:t>
      </w:r>
      <w:r w:rsidR="001F382A">
        <w:rPr>
          <w:rFonts w:ascii="Garamond" w:hAnsi="Garamond"/>
          <w:color w:val="000000" w:themeColor="text1"/>
        </w:rPr>
        <w:t>are</w:t>
      </w:r>
      <w:r w:rsidR="001F382A" w:rsidRPr="00485B6D">
        <w:rPr>
          <w:rFonts w:ascii="Garamond" w:hAnsi="Garamond"/>
          <w:color w:val="000000" w:themeColor="text1"/>
        </w:rPr>
        <w:t xml:space="preserve"> </w:t>
      </w:r>
      <w:r w:rsidR="005D5406">
        <w:rPr>
          <w:rFonts w:ascii="Garamond" w:hAnsi="Garamond"/>
          <w:color w:val="000000" w:themeColor="text1"/>
        </w:rPr>
        <w:t>covered</w:t>
      </w:r>
      <w:r w:rsidR="005D5406" w:rsidRPr="00485B6D">
        <w:rPr>
          <w:rFonts w:ascii="Garamond" w:hAnsi="Garamond"/>
          <w:color w:val="000000" w:themeColor="text1"/>
        </w:rPr>
        <w:t xml:space="preserve"> </w:t>
      </w:r>
      <w:r w:rsidRPr="00485B6D">
        <w:rPr>
          <w:rFonts w:ascii="Garamond" w:hAnsi="Garamond"/>
          <w:color w:val="000000" w:themeColor="text1"/>
        </w:rPr>
        <w:t xml:space="preserve">within the </w:t>
      </w:r>
      <w:r w:rsidR="00F520DE">
        <w:rPr>
          <w:rFonts w:ascii="Garamond" w:hAnsi="Garamond"/>
          <w:color w:val="000000" w:themeColor="text1"/>
        </w:rPr>
        <w:t>C</w:t>
      </w:r>
      <w:r w:rsidRPr="00485B6D">
        <w:rPr>
          <w:rFonts w:ascii="Garamond" w:hAnsi="Garamond"/>
          <w:color w:val="000000" w:themeColor="text1"/>
        </w:rPr>
        <w:t>rosswalk</w:t>
      </w:r>
      <w:r w:rsidR="00302D20">
        <w:rPr>
          <w:rFonts w:ascii="Garamond" w:hAnsi="Garamond"/>
          <w:color w:val="000000" w:themeColor="text1"/>
        </w:rPr>
        <w:t xml:space="preserve">. (All standards and resources cited in this document are provided as useful </w:t>
      </w:r>
      <w:r w:rsidR="00F520DE">
        <w:rPr>
          <w:rFonts w:ascii="Garamond" w:hAnsi="Garamond"/>
          <w:color w:val="000000" w:themeColor="text1"/>
        </w:rPr>
        <w:t xml:space="preserve">sources of information </w:t>
      </w:r>
      <w:r w:rsidR="00302D20">
        <w:rPr>
          <w:rFonts w:ascii="Garamond" w:hAnsi="Garamond"/>
          <w:color w:val="000000" w:themeColor="text1"/>
        </w:rPr>
        <w:t>without conveying any endorsement.)</w:t>
      </w:r>
    </w:p>
    <w:p w14:paraId="31E76201" w14:textId="0CCC4756" w:rsidR="008B0698" w:rsidRPr="00485B6D" w:rsidRDefault="00335AE7" w:rsidP="008E160C">
      <w:pPr>
        <w:pStyle w:val="ListParagraph"/>
        <w:numPr>
          <w:ilvl w:val="0"/>
          <w:numId w:val="17"/>
        </w:numPr>
        <w:rPr>
          <w:rFonts w:ascii="Garamond" w:hAnsi="Garamond"/>
          <w:color w:val="000000" w:themeColor="text1"/>
        </w:rPr>
      </w:pPr>
      <w:hyperlink r:id="rId10" w:history="1">
        <w:r w:rsidR="00EA7E1C" w:rsidRPr="007D795A">
          <w:rPr>
            <w:rStyle w:val="Hyperlink"/>
            <w:rFonts w:ascii="Garamond" w:hAnsi="Garamond"/>
          </w:rPr>
          <w:t>Fitwel</w:t>
        </w:r>
      </w:hyperlink>
      <w:r w:rsidR="007D795A">
        <w:rPr>
          <w:rFonts w:ascii="Garamond" w:hAnsi="Garamond"/>
          <w:color w:val="000000" w:themeColor="text1"/>
        </w:rPr>
        <w:t xml:space="preserve"> </w:t>
      </w:r>
    </w:p>
    <w:p w14:paraId="14A7926A" w14:textId="5625EF04" w:rsidR="008B0698" w:rsidRPr="00485B6D" w:rsidRDefault="00335AE7" w:rsidP="008E160C">
      <w:pPr>
        <w:pStyle w:val="ListParagraph"/>
        <w:numPr>
          <w:ilvl w:val="0"/>
          <w:numId w:val="17"/>
        </w:numPr>
        <w:rPr>
          <w:rFonts w:ascii="Garamond" w:hAnsi="Garamond"/>
          <w:color w:val="000000" w:themeColor="text1"/>
        </w:rPr>
      </w:pPr>
      <w:hyperlink r:id="rId11" w:history="1">
        <w:r w:rsidR="008B0698" w:rsidRPr="007D795A">
          <w:rPr>
            <w:rStyle w:val="Hyperlink"/>
            <w:rFonts w:ascii="Garamond" w:hAnsi="Garamond"/>
          </w:rPr>
          <w:t>The WELL Building Standard</w:t>
        </w:r>
      </w:hyperlink>
      <w:r w:rsidR="008B0698" w:rsidRPr="00485B6D">
        <w:rPr>
          <w:rFonts w:ascii="Garamond" w:hAnsi="Garamond"/>
          <w:color w:val="000000" w:themeColor="text1"/>
        </w:rPr>
        <w:t xml:space="preserve"> </w:t>
      </w:r>
    </w:p>
    <w:p w14:paraId="7BA8A783" w14:textId="5945B2B1" w:rsidR="008B0698" w:rsidRPr="00485B6D" w:rsidRDefault="00335AE7" w:rsidP="008E160C">
      <w:pPr>
        <w:pStyle w:val="ListParagraph"/>
        <w:numPr>
          <w:ilvl w:val="0"/>
          <w:numId w:val="17"/>
        </w:numPr>
        <w:rPr>
          <w:rFonts w:ascii="Garamond" w:hAnsi="Garamond"/>
          <w:color w:val="000000" w:themeColor="text1"/>
        </w:rPr>
      </w:pPr>
      <w:hyperlink r:id="rId12" w:history="1">
        <w:r w:rsidR="008B0698" w:rsidRPr="007D795A">
          <w:rPr>
            <w:rStyle w:val="Hyperlink"/>
            <w:rFonts w:ascii="Garamond" w:hAnsi="Garamond"/>
          </w:rPr>
          <w:t>DoD Unified Facilities Criteria 1-200-02 (Dec 2016)</w:t>
        </w:r>
      </w:hyperlink>
      <w:r w:rsidR="008B0698" w:rsidRPr="00485B6D">
        <w:rPr>
          <w:rFonts w:ascii="Garamond" w:hAnsi="Garamond"/>
          <w:color w:val="000000" w:themeColor="text1"/>
        </w:rPr>
        <w:t xml:space="preserve"> </w:t>
      </w:r>
    </w:p>
    <w:p w14:paraId="102F3B3A" w14:textId="62910C80" w:rsidR="008B0698" w:rsidRPr="00485B6D" w:rsidRDefault="00335AE7" w:rsidP="008E160C">
      <w:pPr>
        <w:pStyle w:val="ListParagraph"/>
        <w:numPr>
          <w:ilvl w:val="0"/>
          <w:numId w:val="17"/>
        </w:numPr>
        <w:rPr>
          <w:rFonts w:ascii="Garamond" w:hAnsi="Garamond"/>
          <w:color w:val="000000" w:themeColor="text1"/>
        </w:rPr>
      </w:pPr>
      <w:hyperlink r:id="rId13" w:history="1">
        <w:r w:rsidR="008B0698" w:rsidRPr="007D795A">
          <w:rPr>
            <w:rStyle w:val="Hyperlink"/>
            <w:rFonts w:ascii="Garamond" w:hAnsi="Garamond"/>
          </w:rPr>
          <w:t>GSA PBS-P100</w:t>
        </w:r>
        <w:r w:rsidR="00A32025">
          <w:rPr>
            <w:rStyle w:val="Hyperlink"/>
            <w:rFonts w:ascii="Garamond" w:hAnsi="Garamond"/>
          </w:rPr>
          <w:t>,</w:t>
        </w:r>
        <w:r w:rsidR="008B0698" w:rsidRPr="007D795A">
          <w:rPr>
            <w:rStyle w:val="Hyperlink"/>
            <w:rFonts w:ascii="Garamond" w:hAnsi="Garamond"/>
          </w:rPr>
          <w:t xml:space="preserve"> Facilities Standards </w:t>
        </w:r>
        <w:r w:rsidR="00BE53B0" w:rsidRPr="007D795A">
          <w:rPr>
            <w:rStyle w:val="Hyperlink"/>
            <w:rFonts w:ascii="Garamond" w:hAnsi="Garamond"/>
          </w:rPr>
          <w:t xml:space="preserve">for </w:t>
        </w:r>
        <w:r w:rsidR="00A32025">
          <w:rPr>
            <w:rStyle w:val="Hyperlink"/>
            <w:rFonts w:ascii="Garamond" w:hAnsi="Garamond"/>
          </w:rPr>
          <w:t>the Public Buildings Service</w:t>
        </w:r>
      </w:hyperlink>
      <w:r w:rsidR="00BE53B0">
        <w:rPr>
          <w:rFonts w:ascii="Garamond" w:hAnsi="Garamond"/>
          <w:color w:val="000000" w:themeColor="text1"/>
        </w:rPr>
        <w:t xml:space="preserve"> </w:t>
      </w:r>
      <w:r w:rsidR="00A32025" w:rsidRPr="00A32025">
        <w:rPr>
          <w:rFonts w:ascii="Garamond" w:hAnsi="Garamond"/>
          <w:color w:val="000000" w:themeColor="text1"/>
        </w:rPr>
        <w:t>(April 2017)</w:t>
      </w:r>
    </w:p>
    <w:p w14:paraId="7EFFC7DB" w14:textId="084F538C" w:rsidR="008B0698" w:rsidRPr="00485B6D" w:rsidRDefault="00335AE7" w:rsidP="008E160C">
      <w:pPr>
        <w:pStyle w:val="ListParagraph"/>
        <w:numPr>
          <w:ilvl w:val="0"/>
          <w:numId w:val="17"/>
        </w:numPr>
        <w:rPr>
          <w:rFonts w:ascii="Garamond" w:hAnsi="Garamond"/>
          <w:color w:val="000000" w:themeColor="text1"/>
        </w:rPr>
      </w:pPr>
      <w:hyperlink r:id="rId14" w:history="1">
        <w:r w:rsidR="008B0698" w:rsidRPr="007D795A">
          <w:rPr>
            <w:rStyle w:val="Hyperlink"/>
            <w:rFonts w:ascii="Garamond" w:hAnsi="Garamond"/>
          </w:rPr>
          <w:t>Green Globes – NC &amp; Green Globes – EB</w:t>
        </w:r>
      </w:hyperlink>
      <w:r w:rsidR="008B0698" w:rsidRPr="00485B6D">
        <w:rPr>
          <w:rFonts w:ascii="Garamond" w:hAnsi="Garamond"/>
          <w:color w:val="000000" w:themeColor="text1"/>
        </w:rPr>
        <w:t xml:space="preserve"> </w:t>
      </w:r>
    </w:p>
    <w:p w14:paraId="35A307B5" w14:textId="6644EA03" w:rsidR="008B0698" w:rsidRDefault="00335AE7" w:rsidP="008E160C">
      <w:pPr>
        <w:pStyle w:val="ListParagraph"/>
        <w:numPr>
          <w:ilvl w:val="0"/>
          <w:numId w:val="17"/>
        </w:numPr>
        <w:rPr>
          <w:rFonts w:ascii="Garamond" w:hAnsi="Garamond"/>
          <w:color w:val="000000" w:themeColor="text1"/>
        </w:rPr>
      </w:pPr>
      <w:hyperlink r:id="rId15" w:history="1">
        <w:r w:rsidR="008B0698" w:rsidRPr="007D795A">
          <w:rPr>
            <w:rStyle w:val="Hyperlink"/>
            <w:rFonts w:ascii="Garamond" w:hAnsi="Garamond"/>
          </w:rPr>
          <w:t>LEED v4: BD+C: New Construction &amp; LEED v4: EBOM</w:t>
        </w:r>
      </w:hyperlink>
      <w:r w:rsidR="008B0698" w:rsidRPr="00485B6D">
        <w:rPr>
          <w:rFonts w:ascii="Garamond" w:hAnsi="Garamond"/>
          <w:color w:val="000000" w:themeColor="text1"/>
        </w:rPr>
        <w:t xml:space="preserve"> </w:t>
      </w:r>
    </w:p>
    <w:p w14:paraId="56FE15A4" w14:textId="3123367F" w:rsidR="00D503ED" w:rsidRDefault="00335AE7" w:rsidP="007D795A">
      <w:pPr>
        <w:pStyle w:val="ListParagraph"/>
        <w:numPr>
          <w:ilvl w:val="0"/>
          <w:numId w:val="17"/>
        </w:numPr>
        <w:rPr>
          <w:rFonts w:ascii="Garamond" w:hAnsi="Garamond"/>
          <w:color w:val="000000" w:themeColor="text1"/>
        </w:rPr>
      </w:pPr>
      <w:hyperlink r:id="rId16" w:history="1">
        <w:r w:rsidR="007D795A" w:rsidRPr="007D795A">
          <w:rPr>
            <w:rStyle w:val="Hyperlink"/>
            <w:rFonts w:ascii="Garamond" w:hAnsi="Garamond"/>
          </w:rPr>
          <w:t>ANSI/ASHRAE/USGBC</w:t>
        </w:r>
        <w:r w:rsidR="00A32025">
          <w:rPr>
            <w:rStyle w:val="Hyperlink"/>
            <w:rFonts w:ascii="Garamond" w:hAnsi="Garamond"/>
          </w:rPr>
          <w:t>/IES</w:t>
        </w:r>
        <w:r w:rsidR="007D795A" w:rsidRPr="007D795A">
          <w:rPr>
            <w:rStyle w:val="Hyperlink"/>
            <w:rFonts w:ascii="Garamond" w:hAnsi="Garamond"/>
          </w:rPr>
          <w:t xml:space="preserve"> Standard 189.1-201</w:t>
        </w:r>
        <w:r w:rsidR="00A32025">
          <w:rPr>
            <w:rStyle w:val="Hyperlink"/>
            <w:rFonts w:ascii="Garamond" w:hAnsi="Garamond"/>
          </w:rPr>
          <w:t>4</w:t>
        </w:r>
        <w:r w:rsidR="007D795A" w:rsidRPr="007D795A">
          <w:rPr>
            <w:rStyle w:val="Hyperlink"/>
            <w:rFonts w:ascii="Garamond" w:hAnsi="Garamond"/>
          </w:rPr>
          <w:t>, Standard for the Design of High-Performance Green Buildings</w:t>
        </w:r>
      </w:hyperlink>
      <w:r w:rsidR="00D503ED">
        <w:rPr>
          <w:rFonts w:ascii="Garamond" w:hAnsi="Garamond"/>
          <w:color w:val="000000" w:themeColor="text1"/>
        </w:rPr>
        <w:t xml:space="preserve"> </w:t>
      </w:r>
    </w:p>
    <w:p w14:paraId="21C91915" w14:textId="670D8D47" w:rsidR="00B82B63" w:rsidRPr="00485B6D" w:rsidRDefault="00B82B63" w:rsidP="00B82B63">
      <w:pPr>
        <w:pStyle w:val="ListParagraph"/>
        <w:numPr>
          <w:ilvl w:val="3"/>
          <w:numId w:val="17"/>
        </w:numPr>
        <w:rPr>
          <w:rFonts w:ascii="Garamond" w:hAnsi="Garamond"/>
          <w:color w:val="000000" w:themeColor="text1"/>
        </w:rPr>
      </w:pPr>
      <w:r>
        <w:rPr>
          <w:rFonts w:ascii="Garamond" w:hAnsi="Garamond"/>
          <w:color w:val="000000" w:themeColor="text1"/>
        </w:rPr>
        <w:t xml:space="preserve">Note: per the partnership agreement between ASHRAE and ICC, the 2017 </w:t>
      </w:r>
      <w:r w:rsidR="0087115F">
        <w:rPr>
          <w:rFonts w:ascii="Garamond" w:hAnsi="Garamond"/>
          <w:color w:val="000000" w:themeColor="text1"/>
        </w:rPr>
        <w:t xml:space="preserve">edition of the </w:t>
      </w:r>
      <w:r>
        <w:rPr>
          <w:rFonts w:ascii="Garamond" w:hAnsi="Garamond"/>
          <w:color w:val="000000" w:themeColor="text1"/>
        </w:rPr>
        <w:t>ASHRAE Standard 189.1 will be available as part of the International Green Construction Code (IGCC).</w:t>
      </w:r>
    </w:p>
    <w:p w14:paraId="4A6B7B00" w14:textId="77777777" w:rsidR="008B0698" w:rsidRPr="00485B6D" w:rsidRDefault="008B0698" w:rsidP="008B0698">
      <w:pPr>
        <w:rPr>
          <w:rFonts w:ascii="Garamond" w:hAnsi="Garamond"/>
          <w:color w:val="000000" w:themeColor="text1"/>
        </w:rPr>
      </w:pPr>
    </w:p>
    <w:p w14:paraId="02CAD589" w14:textId="15BB1E0F" w:rsidR="0036267F" w:rsidRPr="007D795A" w:rsidRDefault="001564E7" w:rsidP="00A03DB7">
      <w:pPr>
        <w:pStyle w:val="Heading3"/>
      </w:pPr>
      <w:r>
        <w:t xml:space="preserve">Guidance </w:t>
      </w:r>
      <w:r w:rsidR="0036267F">
        <w:t xml:space="preserve">Crosswalk </w:t>
      </w:r>
    </w:p>
    <w:p w14:paraId="45BB8BFF" w14:textId="1C55F806" w:rsidR="004E39EA" w:rsidRDefault="004E39EA" w:rsidP="004E39EA">
      <w:pPr>
        <w:rPr>
          <w:rFonts w:ascii="Garamond" w:hAnsi="Garamond"/>
          <w:color w:val="000000" w:themeColor="text1"/>
        </w:rPr>
      </w:pPr>
      <w:r w:rsidRPr="00485B6D">
        <w:rPr>
          <w:rFonts w:ascii="Garamond" w:hAnsi="Garamond"/>
          <w:color w:val="000000" w:themeColor="text1"/>
        </w:rPr>
        <w:t xml:space="preserve">The </w:t>
      </w:r>
      <w:r w:rsidR="00F520DE">
        <w:rPr>
          <w:rFonts w:ascii="Garamond" w:hAnsi="Garamond"/>
          <w:color w:val="000000" w:themeColor="text1"/>
        </w:rPr>
        <w:t>Guidance C</w:t>
      </w:r>
      <w:r w:rsidRPr="00485B6D">
        <w:rPr>
          <w:rFonts w:ascii="Garamond" w:hAnsi="Garamond"/>
          <w:color w:val="000000" w:themeColor="text1"/>
        </w:rPr>
        <w:t xml:space="preserve">rosswalk </w:t>
      </w:r>
      <w:r w:rsidR="00026872">
        <w:rPr>
          <w:rFonts w:ascii="Garamond" w:hAnsi="Garamond"/>
          <w:color w:val="000000" w:themeColor="text1"/>
        </w:rPr>
        <w:t>is</w:t>
      </w:r>
      <w:r w:rsidR="00026872" w:rsidRPr="00485B6D">
        <w:rPr>
          <w:rFonts w:ascii="Garamond" w:hAnsi="Garamond"/>
          <w:color w:val="000000" w:themeColor="text1"/>
        </w:rPr>
        <w:t xml:space="preserve"> </w:t>
      </w:r>
      <w:r w:rsidRPr="00485B6D">
        <w:rPr>
          <w:rFonts w:ascii="Garamond" w:hAnsi="Garamond"/>
          <w:color w:val="000000" w:themeColor="text1"/>
        </w:rPr>
        <w:t xml:space="preserve">laid out </w:t>
      </w:r>
      <w:r w:rsidR="001F382A">
        <w:rPr>
          <w:rFonts w:ascii="Garamond" w:hAnsi="Garamond"/>
          <w:color w:val="000000" w:themeColor="text1"/>
        </w:rPr>
        <w:t>using</w:t>
      </w:r>
      <w:r w:rsidRPr="00485B6D">
        <w:rPr>
          <w:rFonts w:ascii="Garamond" w:hAnsi="Garamond"/>
          <w:color w:val="000000" w:themeColor="text1"/>
        </w:rPr>
        <w:t xml:space="preserve"> a framework that addresses each Health and Wellness Impact Area identified within the Guiding Principle, a Means for Achieving </w:t>
      </w:r>
      <w:r>
        <w:rPr>
          <w:rFonts w:ascii="Garamond" w:hAnsi="Garamond"/>
          <w:color w:val="000000" w:themeColor="text1"/>
        </w:rPr>
        <w:t xml:space="preserve">the </w:t>
      </w:r>
      <w:r w:rsidRPr="00485B6D">
        <w:rPr>
          <w:rFonts w:ascii="Garamond" w:hAnsi="Garamond"/>
          <w:color w:val="000000" w:themeColor="text1"/>
        </w:rPr>
        <w:t xml:space="preserve">Guiding Principle, </w:t>
      </w:r>
      <w:r w:rsidR="00F77AF6">
        <w:rPr>
          <w:rFonts w:ascii="Garamond" w:hAnsi="Garamond"/>
          <w:color w:val="000000" w:themeColor="text1"/>
        </w:rPr>
        <w:t xml:space="preserve">and </w:t>
      </w:r>
      <w:r w:rsidRPr="00485B6D">
        <w:rPr>
          <w:rFonts w:ascii="Garamond" w:hAnsi="Garamond"/>
          <w:color w:val="000000" w:themeColor="text1"/>
        </w:rPr>
        <w:t xml:space="preserve">the </w:t>
      </w:r>
      <w:r w:rsidR="00765819">
        <w:rPr>
          <w:rFonts w:ascii="Garamond" w:hAnsi="Garamond"/>
          <w:color w:val="000000" w:themeColor="text1"/>
        </w:rPr>
        <w:t xml:space="preserve">specific </w:t>
      </w:r>
      <w:r w:rsidRPr="00485B6D">
        <w:rPr>
          <w:rFonts w:ascii="Garamond" w:hAnsi="Garamond"/>
          <w:color w:val="000000" w:themeColor="text1"/>
        </w:rPr>
        <w:t xml:space="preserve">Guiding Principle </w:t>
      </w:r>
      <w:r w:rsidR="001768D4">
        <w:rPr>
          <w:rFonts w:ascii="Garamond" w:hAnsi="Garamond"/>
          <w:color w:val="000000" w:themeColor="text1"/>
        </w:rPr>
        <w:t>related to</w:t>
      </w:r>
      <w:r w:rsidRPr="00485B6D">
        <w:rPr>
          <w:rFonts w:ascii="Garamond" w:hAnsi="Garamond"/>
          <w:color w:val="000000" w:themeColor="text1"/>
        </w:rPr>
        <w:t xml:space="preserve"> the </w:t>
      </w:r>
      <w:r w:rsidR="00835A81">
        <w:rPr>
          <w:rFonts w:ascii="Garamond" w:hAnsi="Garamond"/>
          <w:color w:val="000000" w:themeColor="text1"/>
        </w:rPr>
        <w:t>H</w:t>
      </w:r>
      <w:r w:rsidR="00835A81" w:rsidRPr="00485B6D">
        <w:rPr>
          <w:rFonts w:ascii="Garamond" w:hAnsi="Garamond"/>
          <w:color w:val="000000" w:themeColor="text1"/>
        </w:rPr>
        <w:t xml:space="preserve">ealth </w:t>
      </w:r>
      <w:r w:rsidRPr="00485B6D">
        <w:rPr>
          <w:rFonts w:ascii="Garamond" w:hAnsi="Garamond"/>
          <w:color w:val="000000" w:themeColor="text1"/>
        </w:rPr>
        <w:t xml:space="preserve">and </w:t>
      </w:r>
      <w:r w:rsidR="00835A81">
        <w:rPr>
          <w:rFonts w:ascii="Garamond" w:hAnsi="Garamond"/>
          <w:color w:val="000000" w:themeColor="text1"/>
        </w:rPr>
        <w:t>W</w:t>
      </w:r>
      <w:r w:rsidR="00835A81" w:rsidRPr="00485B6D">
        <w:rPr>
          <w:rFonts w:ascii="Garamond" w:hAnsi="Garamond"/>
          <w:color w:val="000000" w:themeColor="text1"/>
        </w:rPr>
        <w:t xml:space="preserve">ellness </w:t>
      </w:r>
      <w:r w:rsidR="00835A81">
        <w:rPr>
          <w:rFonts w:ascii="Garamond" w:hAnsi="Garamond"/>
          <w:color w:val="000000" w:themeColor="text1"/>
        </w:rPr>
        <w:t>I</w:t>
      </w:r>
      <w:r w:rsidR="00835A81" w:rsidRPr="00485B6D">
        <w:rPr>
          <w:rFonts w:ascii="Garamond" w:hAnsi="Garamond"/>
          <w:color w:val="000000" w:themeColor="text1"/>
        </w:rPr>
        <w:t xml:space="preserve">mpact </w:t>
      </w:r>
      <w:r w:rsidR="00835A81">
        <w:rPr>
          <w:rFonts w:ascii="Garamond" w:hAnsi="Garamond"/>
          <w:color w:val="000000" w:themeColor="text1"/>
        </w:rPr>
        <w:t>A</w:t>
      </w:r>
      <w:r w:rsidR="00835A81" w:rsidRPr="00485B6D">
        <w:rPr>
          <w:rFonts w:ascii="Garamond" w:hAnsi="Garamond"/>
          <w:color w:val="000000" w:themeColor="text1"/>
        </w:rPr>
        <w:t xml:space="preserve">rea </w:t>
      </w:r>
      <w:r w:rsidRPr="00485B6D">
        <w:rPr>
          <w:rFonts w:ascii="Garamond" w:hAnsi="Garamond"/>
          <w:color w:val="000000" w:themeColor="text1"/>
        </w:rPr>
        <w:t xml:space="preserve">– </w:t>
      </w:r>
      <w:r w:rsidR="00EC68D3">
        <w:rPr>
          <w:rFonts w:ascii="Garamond" w:hAnsi="Garamond"/>
          <w:color w:val="000000" w:themeColor="text1"/>
        </w:rPr>
        <w:t xml:space="preserve">all </w:t>
      </w:r>
      <w:r w:rsidRPr="00485B6D">
        <w:rPr>
          <w:rFonts w:ascii="Garamond" w:hAnsi="Garamond"/>
          <w:color w:val="000000" w:themeColor="text1"/>
        </w:rPr>
        <w:t xml:space="preserve">contributing </w:t>
      </w:r>
      <w:r w:rsidRPr="00485B6D">
        <w:rPr>
          <w:rFonts w:ascii="Garamond" w:hAnsi="Garamond"/>
          <w:color w:val="000000" w:themeColor="text1"/>
        </w:rPr>
        <w:lastRenderedPageBreak/>
        <w:t xml:space="preserve">to the achievement of the </w:t>
      </w:r>
      <w:r w:rsidR="00835A81">
        <w:rPr>
          <w:rFonts w:ascii="Garamond" w:hAnsi="Garamond"/>
          <w:color w:val="000000" w:themeColor="text1"/>
        </w:rPr>
        <w:t xml:space="preserve">overall </w:t>
      </w:r>
      <w:r w:rsidRPr="00485B6D">
        <w:rPr>
          <w:rFonts w:ascii="Garamond" w:hAnsi="Garamond"/>
          <w:color w:val="000000" w:themeColor="text1"/>
        </w:rPr>
        <w:t xml:space="preserve">health and wellness goals of an existing building project.  It should be noted that the criteria in each of the resources named are </w:t>
      </w:r>
      <w:r>
        <w:rPr>
          <w:rFonts w:ascii="Garamond" w:hAnsi="Garamond"/>
          <w:color w:val="000000" w:themeColor="text1"/>
        </w:rPr>
        <w:t xml:space="preserve">frequently </w:t>
      </w:r>
      <w:r w:rsidRPr="003D12C5">
        <w:rPr>
          <w:rFonts w:ascii="Garamond" w:hAnsi="Garamond"/>
          <w:color w:val="000000" w:themeColor="text1"/>
          <w:u w:val="single"/>
        </w:rPr>
        <w:t>not</w:t>
      </w:r>
      <w:r w:rsidRPr="00485B6D">
        <w:rPr>
          <w:rFonts w:ascii="Garamond" w:hAnsi="Garamond"/>
          <w:color w:val="000000" w:themeColor="text1"/>
        </w:rPr>
        <w:t xml:space="preserve"> </w:t>
      </w:r>
      <w:r>
        <w:rPr>
          <w:rFonts w:ascii="Garamond" w:hAnsi="Garamond"/>
          <w:color w:val="000000" w:themeColor="text1"/>
        </w:rPr>
        <w:t xml:space="preserve">equivalent </w:t>
      </w:r>
      <w:r w:rsidR="00835A81">
        <w:rPr>
          <w:rFonts w:ascii="Garamond" w:hAnsi="Garamond"/>
          <w:color w:val="000000" w:themeColor="text1"/>
        </w:rPr>
        <w:t xml:space="preserve">in many ways </w:t>
      </w:r>
      <w:r w:rsidR="00D0026F">
        <w:rPr>
          <w:rFonts w:ascii="Garamond" w:hAnsi="Garamond"/>
          <w:color w:val="000000" w:themeColor="text1"/>
        </w:rPr>
        <w:t xml:space="preserve">-- </w:t>
      </w:r>
      <w:r w:rsidR="00835A81">
        <w:rPr>
          <w:rFonts w:ascii="Garamond" w:hAnsi="Garamond"/>
          <w:color w:val="000000" w:themeColor="text1"/>
        </w:rPr>
        <w:t>employing different strategies, with different levels of stringency, etc</w:t>
      </w:r>
      <w:r w:rsidR="00D0026F">
        <w:rPr>
          <w:rFonts w:ascii="Garamond" w:hAnsi="Garamond"/>
          <w:color w:val="000000" w:themeColor="text1"/>
        </w:rPr>
        <w:t xml:space="preserve">. -- </w:t>
      </w:r>
      <w:r w:rsidRPr="00485B6D">
        <w:rPr>
          <w:rFonts w:ascii="Garamond" w:hAnsi="Garamond"/>
          <w:color w:val="000000" w:themeColor="text1"/>
        </w:rPr>
        <w:t xml:space="preserve">and should be evaluated for use based upon the </w:t>
      </w:r>
      <w:r w:rsidRPr="0036267F">
        <w:rPr>
          <w:rFonts w:ascii="Garamond" w:hAnsi="Garamond"/>
          <w:b/>
          <w:color w:val="000000" w:themeColor="text1"/>
        </w:rPr>
        <w:t xml:space="preserve">specific health and wellness goals of a specific </w:t>
      </w:r>
      <w:r w:rsidR="00EC68D3">
        <w:rPr>
          <w:rFonts w:ascii="Garamond" w:hAnsi="Garamond"/>
          <w:b/>
          <w:color w:val="000000" w:themeColor="text1"/>
        </w:rPr>
        <w:t xml:space="preserve">workplace </w:t>
      </w:r>
      <w:r w:rsidRPr="0036267F">
        <w:rPr>
          <w:rFonts w:ascii="Garamond" w:hAnsi="Garamond"/>
          <w:b/>
          <w:color w:val="000000" w:themeColor="text1"/>
        </w:rPr>
        <w:t>setting</w:t>
      </w:r>
      <w:r>
        <w:rPr>
          <w:rFonts w:ascii="Garamond" w:hAnsi="Garamond"/>
          <w:b/>
          <w:color w:val="000000" w:themeColor="text1"/>
        </w:rPr>
        <w:t xml:space="preserve"> or </w:t>
      </w:r>
      <w:r w:rsidR="00EC68D3">
        <w:rPr>
          <w:rFonts w:ascii="Garamond" w:hAnsi="Garamond"/>
          <w:b/>
          <w:color w:val="000000" w:themeColor="text1"/>
        </w:rPr>
        <w:t>building</w:t>
      </w:r>
      <w:r>
        <w:rPr>
          <w:rFonts w:ascii="Garamond" w:hAnsi="Garamond"/>
          <w:b/>
          <w:color w:val="000000" w:themeColor="text1"/>
        </w:rPr>
        <w:t xml:space="preserve"> project</w:t>
      </w:r>
      <w:r w:rsidRPr="00485B6D">
        <w:rPr>
          <w:rFonts w:ascii="Garamond" w:hAnsi="Garamond"/>
          <w:color w:val="000000" w:themeColor="text1"/>
        </w:rPr>
        <w:t>.</w:t>
      </w:r>
    </w:p>
    <w:p w14:paraId="2918C31E" w14:textId="36020D92" w:rsidR="00AF0544" w:rsidRDefault="00AF0544" w:rsidP="004E39EA">
      <w:pPr>
        <w:rPr>
          <w:rFonts w:ascii="Garamond" w:hAnsi="Garamond"/>
          <w:color w:val="000000" w:themeColor="text1"/>
        </w:rPr>
      </w:pPr>
    </w:p>
    <w:p w14:paraId="58F2B2BC" w14:textId="49FBC91E" w:rsidR="00AF0544" w:rsidRDefault="00AF0544" w:rsidP="00AF0544">
      <w:pPr>
        <w:rPr>
          <w:rFonts w:ascii="Garamond" w:hAnsi="Garamond"/>
          <w:color w:val="000000" w:themeColor="text1"/>
        </w:rPr>
      </w:pPr>
      <w:r>
        <w:rPr>
          <w:rFonts w:ascii="Garamond" w:hAnsi="Garamond"/>
          <w:color w:val="000000" w:themeColor="text1"/>
        </w:rPr>
        <w:t>The Health &amp; Wellness Impact Areas in the top sections of the Guidance Crosswalk are based upon feedback from the Center</w:t>
      </w:r>
      <w:r w:rsidR="00C146D6">
        <w:rPr>
          <w:rFonts w:ascii="Garamond" w:hAnsi="Garamond"/>
          <w:color w:val="000000" w:themeColor="text1"/>
        </w:rPr>
        <w:t>s</w:t>
      </w:r>
      <w:r>
        <w:rPr>
          <w:rFonts w:ascii="Garamond" w:hAnsi="Garamond"/>
          <w:color w:val="000000" w:themeColor="text1"/>
        </w:rPr>
        <w:t xml:space="preserve"> for Disease Control</w:t>
      </w:r>
      <w:r w:rsidR="00C146D6">
        <w:rPr>
          <w:rFonts w:ascii="Garamond" w:hAnsi="Garamond"/>
          <w:color w:val="000000" w:themeColor="text1"/>
        </w:rPr>
        <w:t xml:space="preserve"> and Prevention</w:t>
      </w:r>
      <w:r>
        <w:rPr>
          <w:rFonts w:ascii="Garamond" w:hAnsi="Garamond"/>
          <w:color w:val="000000" w:themeColor="text1"/>
        </w:rPr>
        <w:t xml:space="preserve"> (CDC) about the interventions with the greatest impact</w:t>
      </w:r>
      <w:r w:rsidR="00C146D6">
        <w:rPr>
          <w:rFonts w:ascii="Garamond" w:hAnsi="Garamond"/>
          <w:color w:val="000000" w:themeColor="text1"/>
        </w:rPr>
        <w:t>s</w:t>
      </w:r>
      <w:r>
        <w:rPr>
          <w:rFonts w:ascii="Garamond" w:hAnsi="Garamond"/>
          <w:color w:val="000000" w:themeColor="text1"/>
        </w:rPr>
        <w:t xml:space="preserve"> on public health, which include “Diet”, “Exercise”, and “Smoking Cessation”. Beyond these highest impact areas, the second section of the crosswalk – “Additional Supportive Occupant Health Attributes related to the Building Environment” addresses topics primarily focused on Indoor Environmental Quality and Materials and Resources from a life cycle perspective.</w:t>
      </w:r>
    </w:p>
    <w:p w14:paraId="07CF724F" w14:textId="77777777" w:rsidR="00AF0544" w:rsidRDefault="00AF0544" w:rsidP="004E39EA">
      <w:pPr>
        <w:rPr>
          <w:rFonts w:ascii="Garamond" w:hAnsi="Garamond"/>
          <w:color w:val="000000" w:themeColor="text1"/>
        </w:rPr>
      </w:pPr>
    </w:p>
    <w:p w14:paraId="1B4196E7" w14:textId="77777777" w:rsidR="00665FBA" w:rsidRPr="00485B6D" w:rsidRDefault="00665FBA" w:rsidP="004E39EA">
      <w:pPr>
        <w:rPr>
          <w:rFonts w:ascii="Garamond" w:hAnsi="Garamond"/>
          <w:color w:val="000000" w:themeColor="text1"/>
        </w:rPr>
      </w:pPr>
    </w:p>
    <w:p w14:paraId="41D6C3DC" w14:textId="5EDC5D92" w:rsidR="00974C51" w:rsidRDefault="00F77AF6" w:rsidP="00B128AE">
      <w:pPr>
        <w:ind w:left="-990"/>
        <w:rPr>
          <w:rFonts w:ascii="Garamond" w:hAnsi="Garamond"/>
          <w:color w:val="000000" w:themeColor="text1"/>
        </w:rPr>
      </w:pPr>
      <w:r>
        <w:rPr>
          <w:rFonts w:ascii="Garamond" w:hAnsi="Garamond"/>
          <w:noProof/>
          <w:color w:val="000000" w:themeColor="text1"/>
        </w:rPr>
        <w:drawing>
          <wp:inline distT="0" distB="0" distL="0" distR="0" wp14:anchorId="46FEA106" wp14:editId="33CC8C72">
            <wp:extent cx="7138001" cy="2713990"/>
            <wp:effectExtent l="38100" t="38100" r="44450" b="2921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EC7B59.tmp"/>
                    <pic:cNvPicPr/>
                  </pic:nvPicPr>
                  <pic:blipFill rotWithShape="1">
                    <a:blip r:embed="rId17">
                      <a:extLst>
                        <a:ext uri="{28A0092B-C50C-407E-A947-70E740481C1C}">
                          <a14:useLocalDpi xmlns:a14="http://schemas.microsoft.com/office/drawing/2010/main" val="0"/>
                        </a:ext>
                      </a:extLst>
                    </a:blip>
                    <a:srcRect l="320" t="1266" r="475" b="610"/>
                    <a:stretch/>
                  </pic:blipFill>
                  <pic:spPr bwMode="auto">
                    <a:xfrm>
                      <a:off x="0" y="0"/>
                      <a:ext cx="7186084" cy="2732272"/>
                    </a:xfrm>
                    <a:prstGeom prst="rect">
                      <a:avLst/>
                    </a:prstGeom>
                    <a:ln w="285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ED8FDBD" w14:textId="4726F2E9" w:rsidR="00EB4C3D" w:rsidRDefault="00EB4C3D" w:rsidP="00B128AE">
      <w:pPr>
        <w:ind w:left="-990"/>
        <w:rPr>
          <w:rFonts w:ascii="Garamond" w:hAnsi="Garamond"/>
          <w:color w:val="000000" w:themeColor="text1"/>
        </w:rPr>
      </w:pPr>
    </w:p>
    <w:p w14:paraId="78A41DBF" w14:textId="1A94AE67" w:rsidR="00F520DE" w:rsidRDefault="00561A7A" w:rsidP="00561A7A">
      <w:pPr>
        <w:rPr>
          <w:rFonts w:ascii="Garamond" w:hAnsi="Garamond"/>
          <w:color w:val="000000" w:themeColor="text1"/>
        </w:rPr>
      </w:pPr>
      <w:r>
        <w:rPr>
          <w:rFonts w:ascii="Garamond" w:hAnsi="Garamond"/>
          <w:color w:val="000000" w:themeColor="text1"/>
        </w:rPr>
        <w:t xml:space="preserve">For example, as shown above, </w:t>
      </w:r>
      <w:r w:rsidR="002E33DD">
        <w:rPr>
          <w:rFonts w:ascii="Garamond" w:hAnsi="Garamond"/>
          <w:color w:val="000000" w:themeColor="text1"/>
        </w:rPr>
        <w:t>for</w:t>
      </w:r>
      <w:r>
        <w:rPr>
          <w:rFonts w:ascii="Garamond" w:hAnsi="Garamond"/>
          <w:color w:val="000000" w:themeColor="text1"/>
        </w:rPr>
        <w:t xml:space="preserve"> the Health &amp; Wellness Impact Area “</w:t>
      </w:r>
      <w:r w:rsidR="001257EE">
        <w:rPr>
          <w:rFonts w:ascii="Garamond" w:hAnsi="Garamond"/>
          <w:color w:val="000000" w:themeColor="text1"/>
        </w:rPr>
        <w:t>Exercise</w:t>
      </w:r>
      <w:r>
        <w:rPr>
          <w:rFonts w:ascii="Garamond" w:hAnsi="Garamond"/>
          <w:color w:val="000000" w:themeColor="text1"/>
        </w:rPr>
        <w:t xml:space="preserve">” </w:t>
      </w:r>
      <w:r w:rsidR="002E33DD">
        <w:rPr>
          <w:rFonts w:ascii="Garamond" w:hAnsi="Garamond"/>
          <w:color w:val="000000" w:themeColor="text1"/>
        </w:rPr>
        <w:t>one</w:t>
      </w:r>
      <w:r>
        <w:rPr>
          <w:rFonts w:ascii="Garamond" w:hAnsi="Garamond"/>
          <w:color w:val="000000" w:themeColor="text1"/>
        </w:rPr>
        <w:t xml:space="preserve"> Means for Achieving </w:t>
      </w:r>
      <w:r w:rsidR="00F520DE">
        <w:rPr>
          <w:rFonts w:ascii="Garamond" w:hAnsi="Garamond"/>
          <w:color w:val="000000" w:themeColor="text1"/>
        </w:rPr>
        <w:t xml:space="preserve">the </w:t>
      </w:r>
      <w:r>
        <w:rPr>
          <w:rFonts w:ascii="Garamond" w:hAnsi="Garamond"/>
          <w:color w:val="000000" w:themeColor="text1"/>
        </w:rPr>
        <w:t>Guiding Principle is “</w:t>
      </w:r>
      <w:r w:rsidR="001257EE">
        <w:rPr>
          <w:rFonts w:ascii="Garamond" w:hAnsi="Garamond"/>
          <w:color w:val="000000" w:themeColor="text1"/>
        </w:rPr>
        <w:t>Stairwell Vertical Circulation”</w:t>
      </w:r>
      <w:r>
        <w:rPr>
          <w:rFonts w:ascii="Garamond" w:hAnsi="Garamond"/>
          <w:color w:val="000000" w:themeColor="text1"/>
        </w:rPr>
        <w:t xml:space="preserve">.  </w:t>
      </w:r>
      <w:r w:rsidR="002E33DD">
        <w:rPr>
          <w:rFonts w:ascii="Garamond" w:hAnsi="Garamond"/>
          <w:color w:val="000000" w:themeColor="text1"/>
        </w:rPr>
        <w:t>T</w:t>
      </w:r>
      <w:r>
        <w:rPr>
          <w:rFonts w:ascii="Garamond" w:hAnsi="Garamond"/>
          <w:color w:val="000000" w:themeColor="text1"/>
        </w:rPr>
        <w:t>he Applicable Guidelines, Standards, and Rating Systems</w:t>
      </w:r>
      <w:r w:rsidR="002E33DD">
        <w:rPr>
          <w:rFonts w:ascii="Garamond" w:hAnsi="Garamond"/>
          <w:color w:val="000000" w:themeColor="text1"/>
        </w:rPr>
        <w:t xml:space="preserve"> column</w:t>
      </w:r>
      <w:r>
        <w:rPr>
          <w:rFonts w:ascii="Garamond" w:hAnsi="Garamond"/>
          <w:color w:val="000000" w:themeColor="text1"/>
        </w:rPr>
        <w:t xml:space="preserve"> include the credits within the various documents that </w:t>
      </w:r>
      <w:r w:rsidR="002E33DD">
        <w:rPr>
          <w:rFonts w:ascii="Garamond" w:hAnsi="Garamond"/>
          <w:color w:val="000000" w:themeColor="text1"/>
        </w:rPr>
        <w:t>are most</w:t>
      </w:r>
      <w:r>
        <w:rPr>
          <w:rFonts w:ascii="Garamond" w:hAnsi="Garamond"/>
          <w:color w:val="000000" w:themeColor="text1"/>
        </w:rPr>
        <w:t xml:space="preserve"> relevant to </w:t>
      </w:r>
      <w:r w:rsidR="001257EE">
        <w:rPr>
          <w:rFonts w:ascii="Garamond" w:hAnsi="Garamond"/>
          <w:color w:val="000000" w:themeColor="text1"/>
        </w:rPr>
        <w:t xml:space="preserve">opportunities for including signage, visual cues, and related information to encourage building occupants to use </w:t>
      </w:r>
      <w:r>
        <w:rPr>
          <w:rFonts w:ascii="Garamond" w:hAnsi="Garamond"/>
          <w:color w:val="000000" w:themeColor="text1"/>
        </w:rPr>
        <w:t>“</w:t>
      </w:r>
      <w:r w:rsidR="001257EE">
        <w:rPr>
          <w:rFonts w:ascii="Garamond" w:hAnsi="Garamond"/>
          <w:color w:val="000000" w:themeColor="text1"/>
        </w:rPr>
        <w:t>Stairwell Vertical Circulation” in lieu of using the elevator</w:t>
      </w:r>
      <w:r>
        <w:rPr>
          <w:rFonts w:ascii="Garamond" w:hAnsi="Garamond"/>
          <w:color w:val="000000" w:themeColor="text1"/>
        </w:rPr>
        <w:t xml:space="preserve">.  Some suggestions are operational and others are directly relevant to </w:t>
      </w:r>
      <w:r w:rsidR="00F63582">
        <w:rPr>
          <w:rFonts w:ascii="Garamond" w:hAnsi="Garamond"/>
          <w:color w:val="000000" w:themeColor="text1"/>
        </w:rPr>
        <w:t xml:space="preserve">the design of </w:t>
      </w:r>
      <w:r>
        <w:rPr>
          <w:rFonts w:ascii="Garamond" w:hAnsi="Garamond"/>
          <w:color w:val="000000" w:themeColor="text1"/>
        </w:rPr>
        <w:t>physical environmental interventions that can support “</w:t>
      </w:r>
      <w:r w:rsidR="001257EE">
        <w:rPr>
          <w:rFonts w:ascii="Garamond" w:hAnsi="Garamond"/>
          <w:color w:val="000000" w:themeColor="text1"/>
        </w:rPr>
        <w:t>Stairwell Vertical Circulation”</w:t>
      </w:r>
      <w:r>
        <w:rPr>
          <w:rFonts w:ascii="Garamond" w:hAnsi="Garamond"/>
          <w:color w:val="000000" w:themeColor="text1"/>
        </w:rPr>
        <w:t xml:space="preserve">.  If a guideline, standard, or </w:t>
      </w:r>
      <w:r w:rsidR="00EB4C3D">
        <w:rPr>
          <w:rFonts w:ascii="Garamond" w:hAnsi="Garamond"/>
          <w:color w:val="000000" w:themeColor="text1"/>
        </w:rPr>
        <w:t>building rating system</w:t>
      </w:r>
      <w:r>
        <w:rPr>
          <w:rFonts w:ascii="Garamond" w:hAnsi="Garamond"/>
          <w:color w:val="000000" w:themeColor="text1"/>
        </w:rPr>
        <w:t xml:space="preserve"> does not have information that supports the Guiding Principle, it is noted as such. </w:t>
      </w:r>
    </w:p>
    <w:p w14:paraId="3CFBFE21" w14:textId="77777777" w:rsidR="00F520DE" w:rsidRDefault="00F520DE" w:rsidP="00561A7A">
      <w:pPr>
        <w:rPr>
          <w:rFonts w:ascii="Garamond" w:hAnsi="Garamond"/>
          <w:color w:val="000000" w:themeColor="text1"/>
        </w:rPr>
      </w:pPr>
    </w:p>
    <w:p w14:paraId="23A0EF61" w14:textId="34358C19" w:rsidR="00561A7A" w:rsidRDefault="00F520DE" w:rsidP="00561A7A">
      <w:pPr>
        <w:rPr>
          <w:rFonts w:ascii="Garamond" w:hAnsi="Garamond"/>
          <w:color w:val="000000" w:themeColor="text1"/>
        </w:rPr>
      </w:pPr>
      <w:r>
        <w:rPr>
          <w:rFonts w:ascii="Garamond" w:hAnsi="Garamond"/>
          <w:color w:val="000000" w:themeColor="text1"/>
        </w:rPr>
        <w:t xml:space="preserve">The following </w:t>
      </w:r>
      <w:r w:rsidR="00561A7A">
        <w:rPr>
          <w:rFonts w:ascii="Garamond" w:hAnsi="Garamond"/>
          <w:color w:val="000000" w:themeColor="text1"/>
        </w:rPr>
        <w:t>example</w:t>
      </w:r>
      <w:r w:rsidR="00375130">
        <w:rPr>
          <w:rFonts w:ascii="Garamond" w:hAnsi="Garamond"/>
          <w:color w:val="000000" w:themeColor="text1"/>
        </w:rPr>
        <w:t xml:space="preserve"> includes</w:t>
      </w:r>
      <w:r w:rsidR="00EB4C3D">
        <w:rPr>
          <w:rFonts w:ascii="Garamond" w:hAnsi="Garamond"/>
          <w:color w:val="000000" w:themeColor="text1"/>
        </w:rPr>
        <w:t xml:space="preserve"> a</w:t>
      </w:r>
      <w:r w:rsidR="00561A7A">
        <w:rPr>
          <w:rFonts w:ascii="Garamond" w:hAnsi="Garamond"/>
          <w:color w:val="000000" w:themeColor="text1"/>
        </w:rPr>
        <w:t xml:space="preserve"> Health &amp; Wellness Impact Area</w:t>
      </w:r>
      <w:r w:rsidR="00CA01AB">
        <w:rPr>
          <w:rFonts w:ascii="Garamond" w:hAnsi="Garamond"/>
          <w:color w:val="000000" w:themeColor="text1"/>
        </w:rPr>
        <w:t>:</w:t>
      </w:r>
      <w:r w:rsidR="00561A7A">
        <w:rPr>
          <w:rFonts w:ascii="Garamond" w:hAnsi="Garamond"/>
          <w:color w:val="000000" w:themeColor="text1"/>
        </w:rPr>
        <w:t xml:space="preserve"> </w:t>
      </w:r>
      <w:r w:rsidR="00BA6A27">
        <w:rPr>
          <w:rFonts w:ascii="Garamond" w:hAnsi="Garamond"/>
          <w:color w:val="000000" w:themeColor="text1"/>
        </w:rPr>
        <w:t>“Contribute to Improved Indoor Air Quality”</w:t>
      </w:r>
      <w:r w:rsidR="00D0026F">
        <w:rPr>
          <w:rFonts w:ascii="Garamond" w:hAnsi="Garamond"/>
          <w:color w:val="000000" w:themeColor="text1"/>
        </w:rPr>
        <w:t xml:space="preserve"> and</w:t>
      </w:r>
      <w:r w:rsidR="00AF0544">
        <w:rPr>
          <w:rFonts w:ascii="Garamond" w:hAnsi="Garamond"/>
          <w:color w:val="000000" w:themeColor="text1"/>
        </w:rPr>
        <w:t xml:space="preserve"> </w:t>
      </w:r>
      <w:r w:rsidR="00D0026F">
        <w:rPr>
          <w:rFonts w:ascii="Garamond" w:hAnsi="Garamond"/>
          <w:color w:val="000000" w:themeColor="text1"/>
        </w:rPr>
        <w:t xml:space="preserve">one Means for Achieving Potential Outcome, </w:t>
      </w:r>
      <w:r w:rsidR="00EB4C3D">
        <w:rPr>
          <w:rFonts w:ascii="Garamond" w:hAnsi="Garamond"/>
          <w:color w:val="000000" w:themeColor="text1"/>
        </w:rPr>
        <w:t xml:space="preserve">“Provide access to indoor and </w:t>
      </w:r>
      <w:r w:rsidR="00C146D6">
        <w:rPr>
          <w:rFonts w:ascii="Garamond" w:hAnsi="Garamond"/>
          <w:color w:val="000000" w:themeColor="text1"/>
        </w:rPr>
        <w:t>outdoor plants”</w:t>
      </w:r>
      <w:r w:rsidR="00EB4C3D">
        <w:rPr>
          <w:rFonts w:ascii="Garamond" w:hAnsi="Garamond"/>
          <w:color w:val="000000" w:themeColor="text1"/>
        </w:rPr>
        <w:t xml:space="preserve">. </w:t>
      </w:r>
      <w:r w:rsidR="00835A81">
        <w:rPr>
          <w:rFonts w:ascii="Garamond" w:hAnsi="Garamond"/>
          <w:color w:val="000000" w:themeColor="text1"/>
        </w:rPr>
        <w:t>T</w:t>
      </w:r>
      <w:r w:rsidR="00EB4C3D">
        <w:rPr>
          <w:rFonts w:ascii="Garamond" w:hAnsi="Garamond"/>
          <w:color w:val="000000" w:themeColor="text1"/>
        </w:rPr>
        <w:t>he list of</w:t>
      </w:r>
      <w:r w:rsidR="00654B00">
        <w:rPr>
          <w:rFonts w:ascii="Garamond" w:hAnsi="Garamond"/>
          <w:color w:val="000000" w:themeColor="text1"/>
        </w:rPr>
        <w:t xml:space="preserve"> Applicable Guidelines, Standards and Rating System</w:t>
      </w:r>
      <w:r w:rsidR="00E01A84">
        <w:rPr>
          <w:rFonts w:ascii="Garamond" w:hAnsi="Garamond"/>
          <w:color w:val="000000" w:themeColor="text1"/>
        </w:rPr>
        <w:t>s contain</w:t>
      </w:r>
      <w:r w:rsidR="00835A81">
        <w:rPr>
          <w:rFonts w:ascii="Garamond" w:hAnsi="Garamond"/>
          <w:color w:val="000000" w:themeColor="text1"/>
        </w:rPr>
        <w:t>s</w:t>
      </w:r>
      <w:r w:rsidR="00E01A84">
        <w:rPr>
          <w:rFonts w:ascii="Garamond" w:hAnsi="Garamond"/>
          <w:color w:val="000000" w:themeColor="text1"/>
        </w:rPr>
        <w:t xml:space="preserve"> relevant criteria to </w:t>
      </w:r>
      <w:r>
        <w:rPr>
          <w:rFonts w:ascii="Garamond" w:hAnsi="Garamond"/>
          <w:color w:val="000000" w:themeColor="text1"/>
        </w:rPr>
        <w:t xml:space="preserve">provide </w:t>
      </w:r>
      <w:r w:rsidR="00E01A84">
        <w:rPr>
          <w:rFonts w:ascii="Garamond" w:hAnsi="Garamond"/>
          <w:color w:val="000000" w:themeColor="text1"/>
        </w:rPr>
        <w:t>access to indoor and outdoor plants</w:t>
      </w:r>
      <w:r w:rsidR="00EE16A2">
        <w:rPr>
          <w:rFonts w:ascii="Garamond" w:hAnsi="Garamond"/>
          <w:color w:val="000000" w:themeColor="text1"/>
        </w:rPr>
        <w:t xml:space="preserve"> (shown below)</w:t>
      </w:r>
      <w:r w:rsidR="00CD7FBF">
        <w:rPr>
          <w:rFonts w:ascii="Garamond" w:hAnsi="Garamond"/>
          <w:color w:val="000000" w:themeColor="text1"/>
        </w:rPr>
        <w:t>.</w:t>
      </w:r>
    </w:p>
    <w:p w14:paraId="1B615CD6" w14:textId="77777777" w:rsidR="00CA01AB" w:rsidRDefault="00CA01AB" w:rsidP="00385FA2">
      <w:pPr>
        <w:rPr>
          <w:rFonts w:ascii="Garamond" w:hAnsi="Garamond"/>
          <w:color w:val="000000" w:themeColor="text1"/>
        </w:rPr>
      </w:pPr>
    </w:p>
    <w:p w14:paraId="44B35BAE" w14:textId="0DD5EF00" w:rsidR="00CD7FBF" w:rsidRPr="003A0171" w:rsidRDefault="00CA01AB" w:rsidP="008E160C">
      <w:pPr>
        <w:ind w:left="-990"/>
        <w:rPr>
          <w:rFonts w:ascii="Garamond" w:hAnsi="Garamond"/>
          <w:color w:val="000000" w:themeColor="text1"/>
        </w:rPr>
      </w:pPr>
      <w:r>
        <w:rPr>
          <w:rFonts w:ascii="Garamond" w:hAnsi="Garamond"/>
          <w:noProof/>
          <w:color w:val="000000" w:themeColor="text1"/>
        </w:rPr>
        <w:lastRenderedPageBreak/>
        <w:drawing>
          <wp:inline distT="0" distB="0" distL="0" distR="0" wp14:anchorId="633E9187" wp14:editId="4167E22A">
            <wp:extent cx="7128316" cy="2933700"/>
            <wp:effectExtent l="38100" t="38100" r="34925" b="38100"/>
            <wp:docPr id="4" name="Picture 4"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C8891.tmp"/>
                    <pic:cNvPicPr/>
                  </pic:nvPicPr>
                  <pic:blipFill rotWithShape="1">
                    <a:blip r:embed="rId18">
                      <a:extLst>
                        <a:ext uri="{28A0092B-C50C-407E-A947-70E740481C1C}">
                          <a14:useLocalDpi xmlns:a14="http://schemas.microsoft.com/office/drawing/2010/main" val="0"/>
                        </a:ext>
                      </a:extLst>
                    </a:blip>
                    <a:srcRect l="322" t="972" r="528" b="361"/>
                    <a:stretch/>
                  </pic:blipFill>
                  <pic:spPr bwMode="auto">
                    <a:xfrm>
                      <a:off x="0" y="0"/>
                      <a:ext cx="7149927" cy="2942594"/>
                    </a:xfrm>
                    <a:prstGeom prst="rect">
                      <a:avLst/>
                    </a:prstGeom>
                    <a:ln w="381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7426641" w14:textId="77777777" w:rsidR="00075CC6" w:rsidRDefault="00075CC6" w:rsidP="008B0698">
      <w:pPr>
        <w:rPr>
          <w:rFonts w:ascii="Garamond" w:hAnsi="Garamond"/>
          <w:color w:val="000000" w:themeColor="text1"/>
        </w:rPr>
      </w:pPr>
    </w:p>
    <w:p w14:paraId="0F49C136" w14:textId="504ED56D" w:rsidR="00D04ABB" w:rsidRDefault="008B0698" w:rsidP="008B0698">
      <w:pPr>
        <w:rPr>
          <w:rFonts w:ascii="Garamond" w:hAnsi="Garamond"/>
          <w:color w:val="000000" w:themeColor="text1"/>
        </w:rPr>
      </w:pPr>
      <w:r w:rsidRPr="00485B6D">
        <w:rPr>
          <w:rFonts w:ascii="Garamond" w:hAnsi="Garamond"/>
          <w:color w:val="000000" w:themeColor="text1"/>
        </w:rPr>
        <w:t xml:space="preserve">The </w:t>
      </w:r>
      <w:r w:rsidR="00B65DE5">
        <w:rPr>
          <w:rFonts w:ascii="Garamond" w:hAnsi="Garamond"/>
          <w:color w:val="000000" w:themeColor="text1"/>
        </w:rPr>
        <w:t xml:space="preserve">entire </w:t>
      </w:r>
      <w:r w:rsidR="00F520DE">
        <w:rPr>
          <w:rFonts w:ascii="Garamond" w:hAnsi="Garamond"/>
          <w:color w:val="000000" w:themeColor="text1"/>
        </w:rPr>
        <w:t>G</w:t>
      </w:r>
      <w:r w:rsidR="00F520DE" w:rsidRPr="00485B6D">
        <w:rPr>
          <w:rFonts w:ascii="Garamond" w:hAnsi="Garamond"/>
          <w:color w:val="000000" w:themeColor="text1"/>
        </w:rPr>
        <w:t xml:space="preserve">uidance </w:t>
      </w:r>
      <w:r w:rsidR="00F520DE">
        <w:rPr>
          <w:rFonts w:ascii="Garamond" w:hAnsi="Garamond"/>
          <w:color w:val="000000" w:themeColor="text1"/>
        </w:rPr>
        <w:t>C</w:t>
      </w:r>
      <w:r w:rsidRPr="00485B6D">
        <w:rPr>
          <w:rFonts w:ascii="Garamond" w:hAnsi="Garamond"/>
          <w:color w:val="000000" w:themeColor="text1"/>
        </w:rPr>
        <w:t xml:space="preserve">rosswalk is </w:t>
      </w:r>
      <w:r w:rsidR="00A13EEB">
        <w:rPr>
          <w:rFonts w:ascii="Garamond" w:hAnsi="Garamond"/>
          <w:color w:val="000000" w:themeColor="text1"/>
        </w:rPr>
        <w:t>provided</w:t>
      </w:r>
      <w:r w:rsidR="00A13EEB" w:rsidRPr="00485B6D">
        <w:rPr>
          <w:rFonts w:ascii="Garamond" w:hAnsi="Garamond"/>
          <w:color w:val="000000" w:themeColor="text1"/>
        </w:rPr>
        <w:t xml:space="preserve"> </w:t>
      </w:r>
      <w:r w:rsidRPr="00485B6D">
        <w:rPr>
          <w:rFonts w:ascii="Garamond" w:hAnsi="Garamond"/>
          <w:color w:val="000000" w:themeColor="text1"/>
        </w:rPr>
        <w:t>in Appendix A</w:t>
      </w:r>
      <w:r w:rsidR="00A13EEB">
        <w:rPr>
          <w:rFonts w:ascii="Garamond" w:hAnsi="Garamond"/>
          <w:color w:val="000000" w:themeColor="text1"/>
        </w:rPr>
        <w:t>.</w:t>
      </w:r>
      <w:r w:rsidR="003401C2">
        <w:rPr>
          <w:rFonts w:ascii="Garamond" w:hAnsi="Garamond"/>
          <w:color w:val="000000" w:themeColor="text1"/>
        </w:rPr>
        <w:t xml:space="preserve"> </w:t>
      </w:r>
    </w:p>
    <w:p w14:paraId="00104E87" w14:textId="5FBB1162" w:rsidR="00064754" w:rsidRDefault="00064754" w:rsidP="008B0698">
      <w:pPr>
        <w:rPr>
          <w:rFonts w:ascii="Garamond" w:hAnsi="Garamond"/>
          <w:b/>
          <w:color w:val="000000" w:themeColor="text1"/>
        </w:rPr>
      </w:pPr>
    </w:p>
    <w:p w14:paraId="30F1AB85" w14:textId="73D77F68" w:rsidR="001E721D" w:rsidRDefault="001E721D" w:rsidP="00A03DB7">
      <w:pPr>
        <w:pStyle w:val="Heading2"/>
      </w:pPr>
      <w:r w:rsidRPr="00D925D9">
        <w:t>Section</w:t>
      </w:r>
      <w:r>
        <w:t xml:space="preserve"> 3b</w:t>
      </w:r>
      <w:r w:rsidRPr="00D925D9">
        <w:t>:</w:t>
      </w:r>
      <w:r>
        <w:t xml:space="preserve"> Integrated Design Process (IDP) with a focus on health and wellness</w:t>
      </w:r>
    </w:p>
    <w:p w14:paraId="57D9FE5E" w14:textId="703FDB91" w:rsidR="000347F1" w:rsidRDefault="000347F1" w:rsidP="001E721D">
      <w:pPr>
        <w:rPr>
          <w:rFonts w:ascii="Garamond" w:hAnsi="Garamond"/>
          <w:color w:val="000000" w:themeColor="text1"/>
        </w:rPr>
      </w:pPr>
      <w:r>
        <w:rPr>
          <w:rFonts w:ascii="Garamond" w:hAnsi="Garamond"/>
          <w:color w:val="000000" w:themeColor="text1"/>
        </w:rPr>
        <w:t xml:space="preserve">In </w:t>
      </w:r>
      <w:r w:rsidR="001E721D">
        <w:rPr>
          <w:rFonts w:ascii="Garamond" w:hAnsi="Garamond"/>
          <w:color w:val="000000" w:themeColor="text1"/>
        </w:rPr>
        <w:t xml:space="preserve">the programming and planning stage of projects, health and wellness </w:t>
      </w:r>
      <w:r w:rsidR="00B65DE5">
        <w:rPr>
          <w:rFonts w:ascii="Garamond" w:hAnsi="Garamond"/>
          <w:color w:val="000000" w:themeColor="text1"/>
        </w:rPr>
        <w:t xml:space="preserve">design and operational </w:t>
      </w:r>
      <w:r w:rsidR="001E721D">
        <w:rPr>
          <w:rFonts w:ascii="Garamond" w:hAnsi="Garamond"/>
          <w:color w:val="000000" w:themeColor="text1"/>
        </w:rPr>
        <w:t>considerations should be included</w:t>
      </w:r>
      <w:r w:rsidR="00B65DE5">
        <w:rPr>
          <w:rFonts w:ascii="Garamond" w:hAnsi="Garamond"/>
          <w:color w:val="000000" w:themeColor="text1"/>
        </w:rPr>
        <w:t xml:space="preserve"> and prioritized</w:t>
      </w:r>
      <w:r w:rsidR="001E721D">
        <w:rPr>
          <w:rFonts w:ascii="Garamond" w:hAnsi="Garamond"/>
          <w:color w:val="000000" w:themeColor="text1"/>
        </w:rPr>
        <w:t xml:space="preserve"> from the onset of the </w:t>
      </w:r>
      <w:r w:rsidR="0009618C">
        <w:rPr>
          <w:rFonts w:ascii="Garamond" w:hAnsi="Garamond"/>
          <w:color w:val="000000" w:themeColor="text1"/>
        </w:rPr>
        <w:t xml:space="preserve">design </w:t>
      </w:r>
      <w:r w:rsidR="001E721D">
        <w:rPr>
          <w:rFonts w:ascii="Garamond" w:hAnsi="Garamond"/>
          <w:color w:val="000000" w:themeColor="text1"/>
        </w:rPr>
        <w:t>process</w:t>
      </w:r>
      <w:r w:rsidR="00B65DE5">
        <w:rPr>
          <w:rFonts w:ascii="Garamond" w:hAnsi="Garamond"/>
          <w:color w:val="000000" w:themeColor="text1"/>
        </w:rPr>
        <w:t xml:space="preserve"> </w:t>
      </w:r>
      <w:r w:rsidR="001E1A32">
        <w:rPr>
          <w:rFonts w:ascii="Garamond" w:hAnsi="Garamond"/>
          <w:color w:val="000000" w:themeColor="text1"/>
        </w:rPr>
        <w:t>to facilitate</w:t>
      </w:r>
      <w:r w:rsidR="001E721D">
        <w:rPr>
          <w:rFonts w:ascii="Garamond" w:hAnsi="Garamond"/>
          <w:color w:val="000000" w:themeColor="text1"/>
        </w:rPr>
        <w:t xml:space="preserve"> incorporating features that support health and wellness</w:t>
      </w:r>
      <w:r>
        <w:rPr>
          <w:rFonts w:ascii="Garamond" w:hAnsi="Garamond"/>
          <w:color w:val="000000" w:themeColor="text1"/>
        </w:rPr>
        <w:t>,</w:t>
      </w:r>
      <w:r w:rsidR="004E6BA7">
        <w:rPr>
          <w:rFonts w:ascii="Garamond" w:hAnsi="Garamond"/>
          <w:color w:val="000000" w:themeColor="text1"/>
        </w:rPr>
        <w:t xml:space="preserve"> including </w:t>
      </w:r>
      <w:r>
        <w:rPr>
          <w:rFonts w:ascii="Garamond" w:hAnsi="Garamond"/>
          <w:color w:val="000000" w:themeColor="text1"/>
        </w:rPr>
        <w:t xml:space="preserve">promoting healthy behaviors, </w:t>
      </w:r>
      <w:r w:rsidR="00314E8A">
        <w:rPr>
          <w:rFonts w:ascii="Garamond" w:hAnsi="Garamond"/>
          <w:color w:val="000000" w:themeColor="text1"/>
        </w:rPr>
        <w:t>IEQ</w:t>
      </w:r>
      <w:r w:rsidR="00B338C6">
        <w:rPr>
          <w:rFonts w:ascii="Garamond" w:hAnsi="Garamond"/>
          <w:color w:val="000000" w:themeColor="text1"/>
        </w:rPr>
        <w:t>,</w:t>
      </w:r>
      <w:r w:rsidR="004E6BA7">
        <w:rPr>
          <w:rFonts w:ascii="Garamond" w:hAnsi="Garamond"/>
          <w:color w:val="000000" w:themeColor="text1"/>
        </w:rPr>
        <w:t xml:space="preserve"> and material selections</w:t>
      </w:r>
      <w:r w:rsidR="001E721D">
        <w:rPr>
          <w:rFonts w:ascii="Garamond" w:hAnsi="Garamond"/>
          <w:color w:val="000000" w:themeColor="text1"/>
        </w:rPr>
        <w:t>.</w:t>
      </w:r>
      <w:r w:rsidR="00DD5251">
        <w:rPr>
          <w:rFonts w:ascii="Garamond" w:hAnsi="Garamond"/>
          <w:color w:val="000000" w:themeColor="text1"/>
        </w:rPr>
        <w:t xml:space="preserve"> </w:t>
      </w:r>
      <w:r w:rsidR="00A61E4C">
        <w:rPr>
          <w:rFonts w:ascii="Garamond" w:hAnsi="Garamond"/>
          <w:color w:val="000000" w:themeColor="text1"/>
        </w:rPr>
        <w:t>An</w:t>
      </w:r>
      <w:r w:rsidR="00DD5251">
        <w:rPr>
          <w:rFonts w:ascii="Garamond" w:hAnsi="Garamond"/>
          <w:color w:val="000000" w:themeColor="text1"/>
        </w:rPr>
        <w:t xml:space="preserve"> excerpt from the </w:t>
      </w:r>
      <w:r>
        <w:rPr>
          <w:rFonts w:ascii="Garamond" w:hAnsi="Garamond"/>
          <w:color w:val="000000" w:themeColor="text1"/>
        </w:rPr>
        <w:t>Guidance Crosswalk</w:t>
      </w:r>
      <w:r w:rsidR="0058223B">
        <w:rPr>
          <w:rFonts w:ascii="Garamond" w:hAnsi="Garamond"/>
          <w:color w:val="000000" w:themeColor="text1"/>
        </w:rPr>
        <w:t xml:space="preserve"> on utilizing an Integrated Team Approach</w:t>
      </w:r>
      <w:r w:rsidR="00DD5251">
        <w:rPr>
          <w:rFonts w:ascii="Garamond" w:hAnsi="Garamond"/>
          <w:color w:val="000000" w:themeColor="text1"/>
        </w:rPr>
        <w:t xml:space="preserve"> is included below.</w:t>
      </w:r>
    </w:p>
    <w:p w14:paraId="64850A25" w14:textId="77777777" w:rsidR="000347F1" w:rsidRDefault="000347F1" w:rsidP="001E721D">
      <w:pPr>
        <w:rPr>
          <w:rFonts w:ascii="Garamond" w:hAnsi="Garamond"/>
          <w:color w:val="000000" w:themeColor="text1"/>
        </w:rPr>
      </w:pPr>
    </w:p>
    <w:p w14:paraId="2D3FBA8F" w14:textId="364982CE" w:rsidR="001E721D" w:rsidRDefault="00DD5251" w:rsidP="001E721D">
      <w:pPr>
        <w:rPr>
          <w:rFonts w:ascii="Garamond" w:hAnsi="Garamond"/>
          <w:color w:val="000000" w:themeColor="text1"/>
        </w:rPr>
      </w:pPr>
      <w:r>
        <w:rPr>
          <w:rFonts w:ascii="Garamond" w:hAnsi="Garamond"/>
          <w:color w:val="000000" w:themeColor="text1"/>
        </w:rPr>
        <w:t>Prior to updating operational</w:t>
      </w:r>
      <w:r w:rsidR="0058223B">
        <w:rPr>
          <w:rFonts w:ascii="Garamond" w:hAnsi="Garamond"/>
          <w:color w:val="000000" w:themeColor="text1"/>
        </w:rPr>
        <w:t xml:space="preserve"> policies and procedures and completing the</w:t>
      </w:r>
      <w:r>
        <w:rPr>
          <w:rFonts w:ascii="Garamond" w:hAnsi="Garamond"/>
          <w:color w:val="000000" w:themeColor="text1"/>
        </w:rPr>
        <w:t xml:space="preserve"> design of the built environment, it is recommended to establish an integrated team from various disciplines that will be involved in the design </w:t>
      </w:r>
      <w:r w:rsidRPr="00B338C6">
        <w:rPr>
          <w:rFonts w:ascii="Garamond" w:hAnsi="Garamond"/>
          <w:color w:val="000000" w:themeColor="text1"/>
          <w:u w:val="single"/>
        </w:rPr>
        <w:t>and</w:t>
      </w:r>
      <w:r>
        <w:rPr>
          <w:rFonts w:ascii="Garamond" w:hAnsi="Garamond"/>
          <w:color w:val="000000" w:themeColor="text1"/>
        </w:rPr>
        <w:t xml:space="preserve"> operation of the spaces</w:t>
      </w:r>
      <w:r w:rsidR="00A61E4C">
        <w:rPr>
          <w:rFonts w:ascii="Garamond" w:hAnsi="Garamond"/>
          <w:color w:val="000000" w:themeColor="text1"/>
        </w:rPr>
        <w:t xml:space="preserve"> and systems</w:t>
      </w:r>
      <w:r>
        <w:rPr>
          <w:rFonts w:ascii="Garamond" w:hAnsi="Garamond"/>
          <w:color w:val="000000" w:themeColor="text1"/>
        </w:rPr>
        <w:t xml:space="preserve"> under consideration.  </w:t>
      </w:r>
      <w:r w:rsidR="00A61E4C">
        <w:rPr>
          <w:rFonts w:ascii="Garamond" w:hAnsi="Garamond"/>
          <w:color w:val="000000" w:themeColor="text1"/>
        </w:rPr>
        <w:t xml:space="preserve">Including </w:t>
      </w:r>
      <w:r w:rsidR="006909DC">
        <w:rPr>
          <w:rFonts w:ascii="Garamond" w:hAnsi="Garamond"/>
          <w:color w:val="000000" w:themeColor="text1"/>
        </w:rPr>
        <w:t xml:space="preserve">health </w:t>
      </w:r>
      <w:r w:rsidR="00B338C6">
        <w:rPr>
          <w:rFonts w:ascii="Garamond" w:hAnsi="Garamond"/>
          <w:color w:val="000000" w:themeColor="text1"/>
        </w:rPr>
        <w:t xml:space="preserve">and wellness </w:t>
      </w:r>
      <w:r w:rsidR="006909DC">
        <w:rPr>
          <w:rFonts w:ascii="Garamond" w:hAnsi="Garamond"/>
          <w:color w:val="000000" w:themeColor="text1"/>
        </w:rPr>
        <w:t xml:space="preserve">experts and </w:t>
      </w:r>
      <w:r>
        <w:rPr>
          <w:rFonts w:ascii="Garamond" w:hAnsi="Garamond"/>
          <w:color w:val="000000" w:themeColor="text1"/>
        </w:rPr>
        <w:t xml:space="preserve">stakeholders within the planning process provides the opportunity for health and wellness goals to be identified and established as part of the program requirements </w:t>
      </w:r>
      <w:r w:rsidR="001E1A32">
        <w:rPr>
          <w:rFonts w:ascii="Garamond" w:hAnsi="Garamond"/>
          <w:color w:val="000000" w:themeColor="text1"/>
        </w:rPr>
        <w:t>f</w:t>
      </w:r>
      <w:r w:rsidR="00CA01AB">
        <w:rPr>
          <w:rFonts w:ascii="Garamond" w:hAnsi="Garamond"/>
          <w:color w:val="000000" w:themeColor="text1"/>
        </w:rPr>
        <w:t>or</w:t>
      </w:r>
      <w:r w:rsidR="0058223B">
        <w:rPr>
          <w:rFonts w:ascii="Garamond" w:hAnsi="Garamond"/>
          <w:color w:val="000000" w:themeColor="text1"/>
        </w:rPr>
        <w:t xml:space="preserve"> the project.  This is not meant to be an additional </w:t>
      </w:r>
      <w:r w:rsidR="000347F1">
        <w:rPr>
          <w:rFonts w:ascii="Garamond" w:hAnsi="Garamond"/>
          <w:color w:val="000000" w:themeColor="text1"/>
        </w:rPr>
        <w:t>process</w:t>
      </w:r>
      <w:r w:rsidR="0058223B">
        <w:rPr>
          <w:rFonts w:ascii="Garamond" w:hAnsi="Garamond"/>
          <w:color w:val="000000" w:themeColor="text1"/>
        </w:rPr>
        <w:t xml:space="preserve">, but </w:t>
      </w:r>
      <w:r w:rsidR="00A61E4C">
        <w:rPr>
          <w:rFonts w:ascii="Garamond" w:hAnsi="Garamond"/>
          <w:color w:val="000000" w:themeColor="text1"/>
        </w:rPr>
        <w:t xml:space="preserve">rather </w:t>
      </w:r>
      <w:r w:rsidR="0058223B">
        <w:rPr>
          <w:rFonts w:ascii="Garamond" w:hAnsi="Garamond"/>
          <w:color w:val="000000" w:themeColor="text1"/>
        </w:rPr>
        <w:t xml:space="preserve">a set of considerations and discussions </w:t>
      </w:r>
      <w:r w:rsidR="006909DC">
        <w:rPr>
          <w:rFonts w:ascii="Garamond" w:hAnsi="Garamond"/>
          <w:color w:val="000000" w:themeColor="text1"/>
        </w:rPr>
        <w:t>to</w:t>
      </w:r>
      <w:r w:rsidR="003401C2">
        <w:rPr>
          <w:rFonts w:ascii="Garamond" w:hAnsi="Garamond"/>
          <w:color w:val="000000" w:themeColor="text1"/>
        </w:rPr>
        <w:t xml:space="preserve"> </w:t>
      </w:r>
      <w:r w:rsidR="00CA01AB">
        <w:rPr>
          <w:rFonts w:ascii="Garamond" w:hAnsi="Garamond"/>
          <w:color w:val="000000" w:themeColor="text1"/>
        </w:rPr>
        <w:t xml:space="preserve">be included in the Integrated Design Process already </w:t>
      </w:r>
      <w:r w:rsidR="003401C2">
        <w:rPr>
          <w:rFonts w:ascii="Garamond" w:hAnsi="Garamond"/>
          <w:color w:val="000000" w:themeColor="text1"/>
        </w:rPr>
        <w:t xml:space="preserve">used for </w:t>
      </w:r>
      <w:r w:rsidR="00CA01AB">
        <w:rPr>
          <w:rFonts w:ascii="Garamond" w:hAnsi="Garamond"/>
          <w:color w:val="000000" w:themeColor="text1"/>
        </w:rPr>
        <w:t xml:space="preserve">the design of </w:t>
      </w:r>
      <w:r w:rsidR="003401C2">
        <w:rPr>
          <w:rFonts w:ascii="Garamond" w:hAnsi="Garamond"/>
          <w:color w:val="000000" w:themeColor="text1"/>
        </w:rPr>
        <w:t>high performance buildings</w:t>
      </w:r>
      <w:r w:rsidR="0058223B">
        <w:rPr>
          <w:rFonts w:ascii="Garamond" w:hAnsi="Garamond"/>
          <w:color w:val="000000" w:themeColor="text1"/>
        </w:rPr>
        <w:t>.</w:t>
      </w:r>
      <w:r w:rsidR="00C146D6">
        <w:rPr>
          <w:rFonts w:ascii="Garamond" w:hAnsi="Garamond"/>
          <w:color w:val="000000" w:themeColor="text1"/>
        </w:rPr>
        <w:t xml:space="preserve"> See Appendix C for a discussion</w:t>
      </w:r>
      <w:r w:rsidR="00202786">
        <w:rPr>
          <w:rFonts w:ascii="Garamond" w:hAnsi="Garamond"/>
          <w:color w:val="000000" w:themeColor="text1"/>
        </w:rPr>
        <w:t xml:space="preserve"> of,</w:t>
      </w:r>
      <w:r w:rsidR="00C146D6">
        <w:rPr>
          <w:rFonts w:ascii="Garamond" w:hAnsi="Garamond"/>
          <w:color w:val="000000" w:themeColor="text1"/>
        </w:rPr>
        <w:t xml:space="preserve"> </w:t>
      </w:r>
      <w:r w:rsidR="00202786">
        <w:rPr>
          <w:rFonts w:ascii="Garamond" w:hAnsi="Garamond"/>
          <w:color w:val="000000" w:themeColor="text1"/>
        </w:rPr>
        <w:t>and sample approach to,</w:t>
      </w:r>
      <w:r w:rsidR="00C146D6">
        <w:rPr>
          <w:rFonts w:ascii="Garamond" w:hAnsi="Garamond"/>
          <w:color w:val="000000" w:themeColor="text1"/>
        </w:rPr>
        <w:t xml:space="preserve"> this concept.</w:t>
      </w:r>
    </w:p>
    <w:p w14:paraId="6476C589" w14:textId="004562B0" w:rsidR="00CA01AB" w:rsidRDefault="00CA01AB" w:rsidP="00CA01AB">
      <w:pPr>
        <w:ind w:left="-990"/>
        <w:rPr>
          <w:rFonts w:ascii="Garamond" w:hAnsi="Garamond"/>
          <w:color w:val="000000" w:themeColor="text1"/>
        </w:rPr>
      </w:pPr>
      <w:r>
        <w:rPr>
          <w:rFonts w:ascii="Garamond" w:hAnsi="Garamond"/>
          <w:noProof/>
          <w:color w:val="000000" w:themeColor="text1"/>
        </w:rPr>
        <w:lastRenderedPageBreak/>
        <w:drawing>
          <wp:inline distT="0" distB="0" distL="0" distR="0" wp14:anchorId="00E7B4C3" wp14:editId="741744D2">
            <wp:extent cx="7072243" cy="3072384"/>
            <wp:effectExtent l="38100" t="38100" r="33655" b="33020"/>
            <wp:docPr id="5" name="Picture 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C6D4C.tmp"/>
                    <pic:cNvPicPr/>
                  </pic:nvPicPr>
                  <pic:blipFill rotWithShape="1">
                    <a:blip r:embed="rId19">
                      <a:extLst>
                        <a:ext uri="{28A0092B-C50C-407E-A947-70E740481C1C}">
                          <a14:useLocalDpi xmlns:a14="http://schemas.microsoft.com/office/drawing/2010/main" val="0"/>
                        </a:ext>
                      </a:extLst>
                    </a:blip>
                    <a:srcRect l="343" t="589" r="845" b="1003"/>
                    <a:stretch/>
                  </pic:blipFill>
                  <pic:spPr bwMode="auto">
                    <a:xfrm>
                      <a:off x="0" y="0"/>
                      <a:ext cx="7095289" cy="3082396"/>
                    </a:xfrm>
                    <a:prstGeom prst="rect">
                      <a:avLst/>
                    </a:prstGeom>
                    <a:ln w="381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D7A06B6" w14:textId="77777777" w:rsidR="00913ED7" w:rsidRDefault="00913ED7" w:rsidP="005843FD">
      <w:pPr>
        <w:rPr>
          <w:rFonts w:ascii="Garamond" w:hAnsi="Garamond"/>
          <w:b/>
          <w:color w:val="000000" w:themeColor="text1"/>
        </w:rPr>
      </w:pPr>
    </w:p>
    <w:p w14:paraId="0FBFE54E" w14:textId="71319152" w:rsidR="006B7617" w:rsidRDefault="006B7617" w:rsidP="00A03DB7">
      <w:pPr>
        <w:pStyle w:val="Heading2"/>
      </w:pPr>
      <w:r>
        <w:t>Section 3c:</w:t>
      </w:r>
      <w:r w:rsidRPr="00D925D9">
        <w:t xml:space="preserve"> Model Leasing </w:t>
      </w:r>
      <w:r w:rsidR="00FE218B">
        <w:t xml:space="preserve">Provisions </w:t>
      </w:r>
    </w:p>
    <w:p w14:paraId="683A4DB7" w14:textId="2FAB7D0A" w:rsidR="00F96109" w:rsidRDefault="00302D20" w:rsidP="00A919AF">
      <w:pPr>
        <w:pStyle w:val="ListParagraph"/>
        <w:shd w:val="clear" w:color="auto" w:fill="FFFFFF"/>
        <w:ind w:left="0"/>
        <w:rPr>
          <w:rFonts w:ascii="Garamond" w:eastAsia="Times New Roman" w:hAnsi="Garamond" w:cs="Arial"/>
          <w:color w:val="000000" w:themeColor="text1"/>
        </w:rPr>
      </w:pPr>
      <w:r>
        <w:rPr>
          <w:rFonts w:ascii="Garamond" w:eastAsia="Times New Roman" w:hAnsi="Garamond" w:cs="Arial"/>
          <w:color w:val="000000" w:themeColor="text1"/>
        </w:rPr>
        <w:t>In November 2016, t</w:t>
      </w:r>
      <w:r w:rsidR="00F96109">
        <w:rPr>
          <w:rFonts w:ascii="Garamond" w:eastAsia="Times New Roman" w:hAnsi="Garamond" w:cs="Arial"/>
          <w:color w:val="000000" w:themeColor="text1"/>
        </w:rPr>
        <w:t xml:space="preserve">he Committee recommended voluntary </w:t>
      </w:r>
      <w:hyperlink r:id="rId20" w:history="1">
        <w:r w:rsidR="00F96109" w:rsidRPr="003539C2">
          <w:rPr>
            <w:rStyle w:val="Hyperlink"/>
            <w:rFonts w:ascii="Garamond" w:eastAsia="Times New Roman" w:hAnsi="Garamond" w:cs="Arial"/>
          </w:rPr>
          <w:t>High</w:t>
        </w:r>
        <w:r w:rsidR="00F07E67">
          <w:rPr>
            <w:rStyle w:val="Hyperlink"/>
            <w:rFonts w:ascii="Garamond" w:eastAsia="Times New Roman" w:hAnsi="Garamond" w:cs="Arial"/>
          </w:rPr>
          <w:t>-</w:t>
        </w:r>
        <w:r w:rsidR="00F96109" w:rsidRPr="003539C2">
          <w:rPr>
            <w:rStyle w:val="Hyperlink"/>
            <w:rFonts w:ascii="Garamond" w:eastAsia="Times New Roman" w:hAnsi="Garamond" w:cs="Arial"/>
          </w:rPr>
          <w:t>Performance Leasing criteria</w:t>
        </w:r>
      </w:hyperlink>
      <w:r w:rsidR="00F96109">
        <w:rPr>
          <w:rFonts w:ascii="Garamond" w:eastAsia="Times New Roman" w:hAnsi="Garamond" w:cs="Arial"/>
          <w:color w:val="000000" w:themeColor="text1"/>
        </w:rPr>
        <w:t xml:space="preserve"> to GSA to provide to the commercial building market per the </w:t>
      </w:r>
      <w:r w:rsidR="000347F1">
        <w:rPr>
          <w:rFonts w:ascii="Garamond" w:eastAsia="Times New Roman" w:hAnsi="Garamond" w:cs="Arial"/>
          <w:color w:val="000000" w:themeColor="text1"/>
        </w:rPr>
        <w:t xml:space="preserve">requirements of the </w:t>
      </w:r>
      <w:r w:rsidR="00F96109">
        <w:rPr>
          <w:rFonts w:ascii="Garamond" w:eastAsia="Times New Roman" w:hAnsi="Garamond" w:cs="Arial"/>
          <w:color w:val="000000" w:themeColor="text1"/>
        </w:rPr>
        <w:t>Energy Efficiency Improvement Act of 2015.  These criteria, drawing from a range of public and private sector sources, include IEQ standards and language</w:t>
      </w:r>
      <w:r w:rsidR="00314E8A">
        <w:rPr>
          <w:rFonts w:ascii="Garamond" w:eastAsia="Times New Roman" w:hAnsi="Garamond" w:cs="Arial"/>
          <w:color w:val="000000" w:themeColor="text1"/>
        </w:rPr>
        <w:t xml:space="preserve"> for interested lessors</w:t>
      </w:r>
      <w:r w:rsidR="00F96109">
        <w:rPr>
          <w:rFonts w:ascii="Garamond" w:eastAsia="Times New Roman" w:hAnsi="Garamond" w:cs="Arial"/>
          <w:color w:val="000000" w:themeColor="text1"/>
        </w:rPr>
        <w:t xml:space="preserve"> to incorporate into leases.  </w:t>
      </w:r>
      <w:r w:rsidR="000602A4">
        <w:rPr>
          <w:rFonts w:ascii="Garamond" w:eastAsia="Times New Roman" w:hAnsi="Garamond" w:cs="Arial"/>
          <w:color w:val="000000" w:themeColor="text1"/>
        </w:rPr>
        <w:t xml:space="preserve">Based upon the work completed by the HW Task </w:t>
      </w:r>
      <w:r w:rsidR="001E1A32">
        <w:rPr>
          <w:rFonts w:ascii="Garamond" w:eastAsia="Times New Roman" w:hAnsi="Garamond" w:cs="Arial"/>
          <w:color w:val="000000" w:themeColor="text1"/>
        </w:rPr>
        <w:t>Group</w:t>
      </w:r>
      <w:r w:rsidR="000602A4">
        <w:rPr>
          <w:rFonts w:ascii="Garamond" w:eastAsia="Times New Roman" w:hAnsi="Garamond" w:cs="Arial"/>
          <w:color w:val="000000" w:themeColor="text1"/>
        </w:rPr>
        <w:t>, the Committee further recommends</w:t>
      </w:r>
      <w:r w:rsidR="00B10E53">
        <w:rPr>
          <w:rFonts w:ascii="Garamond" w:hAnsi="Garamond"/>
          <w:color w:val="000000" w:themeColor="text1"/>
        </w:rPr>
        <w:t xml:space="preserve"> tenants</w:t>
      </w:r>
      <w:r w:rsidR="00B10E53" w:rsidRPr="00485B6D">
        <w:rPr>
          <w:rFonts w:ascii="Garamond" w:hAnsi="Garamond"/>
          <w:color w:val="000000" w:themeColor="text1"/>
        </w:rPr>
        <w:t xml:space="preserve"> and owners </w:t>
      </w:r>
      <w:r w:rsidR="00B10E53">
        <w:rPr>
          <w:rFonts w:ascii="Garamond" w:hAnsi="Garamond"/>
          <w:color w:val="000000" w:themeColor="text1"/>
        </w:rPr>
        <w:t xml:space="preserve">evaluate their health and wellness </w:t>
      </w:r>
      <w:r w:rsidR="00645F34">
        <w:rPr>
          <w:rFonts w:ascii="Garamond" w:hAnsi="Garamond"/>
          <w:color w:val="000000" w:themeColor="text1"/>
        </w:rPr>
        <w:t xml:space="preserve">goals and </w:t>
      </w:r>
      <w:r w:rsidR="00B10E53">
        <w:rPr>
          <w:rFonts w:ascii="Garamond" w:hAnsi="Garamond"/>
          <w:color w:val="000000" w:themeColor="text1"/>
        </w:rPr>
        <w:t>considerations</w:t>
      </w:r>
      <w:r w:rsidR="00645F34">
        <w:rPr>
          <w:rFonts w:ascii="Garamond" w:hAnsi="Garamond"/>
          <w:color w:val="000000" w:themeColor="text1"/>
        </w:rPr>
        <w:t xml:space="preserve"> at </w:t>
      </w:r>
      <w:r w:rsidR="0016404E">
        <w:rPr>
          <w:rFonts w:ascii="Garamond" w:hAnsi="Garamond"/>
          <w:color w:val="000000" w:themeColor="text1"/>
        </w:rPr>
        <w:t xml:space="preserve">the onset of leasing a property using the recommendations provided herein and </w:t>
      </w:r>
      <w:r w:rsidR="00D32A67">
        <w:rPr>
          <w:rFonts w:ascii="Garamond" w:hAnsi="Garamond"/>
          <w:color w:val="000000" w:themeColor="text1"/>
        </w:rPr>
        <w:t xml:space="preserve">the </w:t>
      </w:r>
      <w:r w:rsidR="0016404E">
        <w:rPr>
          <w:rFonts w:ascii="Garamond" w:hAnsi="Garamond"/>
          <w:color w:val="000000" w:themeColor="text1"/>
        </w:rPr>
        <w:t>Guidance Crosswa</w:t>
      </w:r>
      <w:r w:rsidR="00D32A67">
        <w:rPr>
          <w:rFonts w:ascii="Garamond" w:hAnsi="Garamond"/>
          <w:color w:val="000000" w:themeColor="text1"/>
        </w:rPr>
        <w:t>lk</w:t>
      </w:r>
      <w:r w:rsidR="000408C1">
        <w:rPr>
          <w:rFonts w:ascii="Garamond" w:hAnsi="Garamond"/>
          <w:color w:val="000000" w:themeColor="text1"/>
        </w:rPr>
        <w:t xml:space="preserve"> for reference</w:t>
      </w:r>
      <w:r w:rsidR="00314E8A">
        <w:rPr>
          <w:rFonts w:ascii="Garamond" w:hAnsi="Garamond"/>
          <w:color w:val="000000" w:themeColor="text1"/>
        </w:rPr>
        <w:t>, tailoring</w:t>
      </w:r>
      <w:r w:rsidR="001E1A32">
        <w:rPr>
          <w:rFonts w:ascii="Garamond" w:hAnsi="Garamond"/>
          <w:color w:val="000000" w:themeColor="text1"/>
        </w:rPr>
        <w:t xml:space="preserve"> the leasing</w:t>
      </w:r>
      <w:r w:rsidR="00314E8A">
        <w:rPr>
          <w:rFonts w:ascii="Garamond" w:hAnsi="Garamond"/>
          <w:color w:val="000000" w:themeColor="text1"/>
        </w:rPr>
        <w:t xml:space="preserve"> language to the specific </w:t>
      </w:r>
      <w:r w:rsidR="00CF0DA0">
        <w:rPr>
          <w:rFonts w:ascii="Garamond" w:hAnsi="Garamond"/>
          <w:color w:val="000000" w:themeColor="text1"/>
        </w:rPr>
        <w:t>needs of</w:t>
      </w:r>
      <w:r w:rsidR="00D32A67">
        <w:rPr>
          <w:rFonts w:ascii="Garamond" w:hAnsi="Garamond"/>
          <w:color w:val="000000" w:themeColor="text1"/>
        </w:rPr>
        <w:t xml:space="preserve"> the lessee and lessor.</w:t>
      </w:r>
      <w:r w:rsidR="0016404E">
        <w:rPr>
          <w:rFonts w:ascii="Garamond" w:hAnsi="Garamond"/>
          <w:color w:val="000000" w:themeColor="text1"/>
        </w:rPr>
        <w:t xml:space="preserve"> </w:t>
      </w:r>
    </w:p>
    <w:p w14:paraId="47CC9E49" w14:textId="4B6CE111" w:rsidR="00FE218B" w:rsidRPr="00660914" w:rsidRDefault="00FE218B" w:rsidP="00660914">
      <w:pPr>
        <w:shd w:val="clear" w:color="auto" w:fill="FFFFFF"/>
        <w:rPr>
          <w:rFonts w:ascii="Garamond" w:eastAsia="Times New Roman" w:hAnsi="Garamond" w:cs="Arial"/>
          <w:color w:val="000000" w:themeColor="text1"/>
        </w:rPr>
      </w:pPr>
    </w:p>
    <w:p w14:paraId="5DC9D629" w14:textId="712FEA4E" w:rsidR="00FE218B" w:rsidRDefault="00712957" w:rsidP="008E160C">
      <w:pPr>
        <w:shd w:val="clear" w:color="auto" w:fill="FFFFFF"/>
        <w:rPr>
          <w:rFonts w:ascii="Garamond" w:eastAsia="Times New Roman" w:hAnsi="Garamond" w:cs="Arial"/>
          <w:color w:val="000000" w:themeColor="text1"/>
        </w:rPr>
      </w:pPr>
      <w:r>
        <w:rPr>
          <w:rFonts w:ascii="Garamond" w:eastAsia="Times New Roman" w:hAnsi="Garamond" w:cs="Arial"/>
          <w:color w:val="000000" w:themeColor="text1"/>
        </w:rPr>
        <w:t>S</w:t>
      </w:r>
      <w:r w:rsidR="00FE218B">
        <w:rPr>
          <w:rFonts w:ascii="Garamond" w:eastAsia="Times New Roman" w:hAnsi="Garamond" w:cs="Arial"/>
          <w:color w:val="000000" w:themeColor="text1"/>
        </w:rPr>
        <w:t>ome</w:t>
      </w:r>
      <w:r w:rsidR="00FE218B" w:rsidRPr="000408C1">
        <w:rPr>
          <w:rFonts w:ascii="Garamond" w:eastAsia="Times New Roman" w:hAnsi="Garamond" w:cs="Arial"/>
          <w:color w:val="000000" w:themeColor="text1"/>
        </w:rPr>
        <w:t xml:space="preserve"> </w:t>
      </w:r>
      <w:r>
        <w:rPr>
          <w:rFonts w:ascii="Garamond" w:eastAsia="Times New Roman" w:hAnsi="Garamond" w:cs="Arial"/>
          <w:color w:val="000000" w:themeColor="text1"/>
        </w:rPr>
        <w:t xml:space="preserve">large national </w:t>
      </w:r>
      <w:r w:rsidR="002B02E6">
        <w:rPr>
          <w:rFonts w:ascii="Garamond" w:eastAsia="Times New Roman" w:hAnsi="Garamond" w:cs="Arial"/>
          <w:color w:val="000000" w:themeColor="text1"/>
        </w:rPr>
        <w:t xml:space="preserve">real estate </w:t>
      </w:r>
      <w:r>
        <w:rPr>
          <w:rFonts w:ascii="Garamond" w:eastAsia="Times New Roman" w:hAnsi="Garamond" w:cs="Arial"/>
          <w:color w:val="000000" w:themeColor="text1"/>
        </w:rPr>
        <w:t>companies</w:t>
      </w:r>
      <w:r w:rsidR="00A43DEE">
        <w:rPr>
          <w:rFonts w:ascii="Garamond" w:eastAsia="Times New Roman" w:hAnsi="Garamond" w:cs="Arial"/>
          <w:color w:val="000000" w:themeColor="text1"/>
        </w:rPr>
        <w:t xml:space="preserve"> </w:t>
      </w:r>
      <w:r w:rsidR="00FE218B">
        <w:rPr>
          <w:rFonts w:ascii="Garamond" w:eastAsia="Times New Roman" w:hAnsi="Garamond" w:cs="Arial"/>
          <w:color w:val="000000" w:themeColor="text1"/>
        </w:rPr>
        <w:t>have formally embraced</w:t>
      </w:r>
      <w:r w:rsidR="00D04A68">
        <w:rPr>
          <w:rFonts w:ascii="Garamond" w:eastAsia="Times New Roman" w:hAnsi="Garamond" w:cs="Arial"/>
          <w:color w:val="000000" w:themeColor="text1"/>
        </w:rPr>
        <w:t xml:space="preserve"> </w:t>
      </w:r>
      <w:r w:rsidR="006909DC">
        <w:rPr>
          <w:rFonts w:ascii="Garamond" w:eastAsia="Times New Roman" w:hAnsi="Garamond" w:cs="Arial"/>
          <w:color w:val="000000" w:themeColor="text1"/>
        </w:rPr>
        <w:t xml:space="preserve">and </w:t>
      </w:r>
      <w:r w:rsidR="00FE218B">
        <w:rPr>
          <w:rFonts w:ascii="Garamond" w:eastAsia="Times New Roman" w:hAnsi="Garamond" w:cs="Arial"/>
          <w:color w:val="000000" w:themeColor="text1"/>
        </w:rPr>
        <w:t xml:space="preserve">adopted health and wellness concepts </w:t>
      </w:r>
      <w:r w:rsidR="000347F1">
        <w:rPr>
          <w:rFonts w:ascii="Garamond" w:eastAsia="Times New Roman" w:hAnsi="Garamond" w:cs="Arial"/>
          <w:color w:val="000000" w:themeColor="text1"/>
        </w:rPr>
        <w:t xml:space="preserve">in their </w:t>
      </w:r>
      <w:r w:rsidR="00FE218B">
        <w:rPr>
          <w:rFonts w:ascii="Garamond" w:eastAsia="Times New Roman" w:hAnsi="Garamond" w:cs="Arial"/>
          <w:color w:val="000000" w:themeColor="text1"/>
        </w:rPr>
        <w:t>standard b</w:t>
      </w:r>
      <w:r w:rsidR="00F1261E">
        <w:rPr>
          <w:rFonts w:ascii="Garamond" w:eastAsia="Times New Roman" w:hAnsi="Garamond" w:cs="Arial"/>
          <w:color w:val="000000" w:themeColor="text1"/>
        </w:rPr>
        <w:t>usiness practices</w:t>
      </w:r>
      <w:r>
        <w:rPr>
          <w:rFonts w:ascii="Garamond" w:eastAsia="Times New Roman" w:hAnsi="Garamond" w:cs="Arial"/>
          <w:color w:val="000000" w:themeColor="text1"/>
        </w:rPr>
        <w:t xml:space="preserve"> and</w:t>
      </w:r>
      <w:r w:rsidR="00F1261E">
        <w:rPr>
          <w:rFonts w:ascii="Garamond" w:eastAsia="Times New Roman" w:hAnsi="Garamond" w:cs="Arial"/>
          <w:color w:val="000000" w:themeColor="text1"/>
        </w:rPr>
        <w:t xml:space="preserve"> policies</w:t>
      </w:r>
      <w:r>
        <w:rPr>
          <w:rFonts w:ascii="Garamond" w:eastAsia="Times New Roman" w:hAnsi="Garamond" w:cs="Arial"/>
          <w:color w:val="000000" w:themeColor="text1"/>
        </w:rPr>
        <w:t xml:space="preserve"> (for both owned and leased settings) </w:t>
      </w:r>
      <w:r w:rsidR="006909DC">
        <w:rPr>
          <w:rFonts w:ascii="Garamond" w:eastAsia="Times New Roman" w:hAnsi="Garamond" w:cs="Arial"/>
          <w:color w:val="000000" w:themeColor="text1"/>
        </w:rPr>
        <w:t>which already include</w:t>
      </w:r>
      <w:r w:rsidR="00FE218B">
        <w:rPr>
          <w:rFonts w:ascii="Garamond" w:eastAsia="Times New Roman" w:hAnsi="Garamond" w:cs="Arial"/>
          <w:color w:val="000000" w:themeColor="text1"/>
        </w:rPr>
        <w:t xml:space="preserve"> energy efficient and indoor environmental quality provisions from sources</w:t>
      </w:r>
      <w:r w:rsidR="006909DC">
        <w:rPr>
          <w:rFonts w:ascii="Garamond" w:eastAsia="Times New Roman" w:hAnsi="Garamond" w:cs="Arial"/>
          <w:color w:val="000000" w:themeColor="text1"/>
        </w:rPr>
        <w:t xml:space="preserve"> including</w:t>
      </w:r>
      <w:r w:rsidR="00FE218B">
        <w:rPr>
          <w:rFonts w:ascii="Garamond" w:eastAsia="Times New Roman" w:hAnsi="Garamond" w:cs="Arial"/>
          <w:color w:val="000000" w:themeColor="text1"/>
        </w:rPr>
        <w:t>:</w:t>
      </w:r>
    </w:p>
    <w:p w14:paraId="7530A99B" w14:textId="782EC43C" w:rsidR="00FE218B" w:rsidRDefault="000977C8" w:rsidP="00660914">
      <w:pPr>
        <w:pStyle w:val="ListParagraph"/>
        <w:numPr>
          <w:ilvl w:val="0"/>
          <w:numId w:val="13"/>
        </w:numPr>
        <w:shd w:val="clear" w:color="auto" w:fill="FFFFFF"/>
        <w:ind w:left="1080"/>
        <w:rPr>
          <w:rFonts w:ascii="Garamond" w:eastAsia="Times New Roman" w:hAnsi="Garamond" w:cs="Arial"/>
          <w:color w:val="000000" w:themeColor="text1"/>
        </w:rPr>
      </w:pPr>
      <w:r>
        <w:rPr>
          <w:rFonts w:ascii="Garamond" w:eastAsia="Times New Roman" w:hAnsi="Garamond" w:cs="Arial"/>
          <w:color w:val="000000" w:themeColor="text1"/>
        </w:rPr>
        <w:t xml:space="preserve">LEED </w:t>
      </w:r>
      <w:r w:rsidR="006909DC">
        <w:rPr>
          <w:rFonts w:ascii="Garamond" w:eastAsia="Times New Roman" w:hAnsi="Garamond" w:cs="Arial"/>
          <w:color w:val="000000" w:themeColor="text1"/>
        </w:rPr>
        <w:t>Interior Design &amp; Construction (</w:t>
      </w:r>
      <w:r>
        <w:rPr>
          <w:rFonts w:ascii="Garamond" w:eastAsia="Times New Roman" w:hAnsi="Garamond" w:cs="Arial"/>
          <w:color w:val="000000" w:themeColor="text1"/>
        </w:rPr>
        <w:t>ID&amp;C</w:t>
      </w:r>
      <w:r w:rsidR="006909DC">
        <w:rPr>
          <w:rFonts w:ascii="Garamond" w:eastAsia="Times New Roman" w:hAnsi="Garamond" w:cs="Arial"/>
          <w:color w:val="000000" w:themeColor="text1"/>
        </w:rPr>
        <w:t>)</w:t>
      </w:r>
      <w:r>
        <w:rPr>
          <w:rFonts w:ascii="Garamond" w:eastAsia="Times New Roman" w:hAnsi="Garamond" w:cs="Arial"/>
          <w:color w:val="000000" w:themeColor="text1"/>
        </w:rPr>
        <w:t xml:space="preserve"> and </w:t>
      </w:r>
      <w:r w:rsidR="006909DC">
        <w:rPr>
          <w:rFonts w:ascii="Garamond" w:eastAsia="Times New Roman" w:hAnsi="Garamond" w:cs="Arial"/>
          <w:color w:val="000000" w:themeColor="text1"/>
        </w:rPr>
        <w:t>Existing Buildings: Operation &amp; Maintenance (</w:t>
      </w:r>
      <w:r>
        <w:rPr>
          <w:rFonts w:ascii="Garamond" w:eastAsia="Times New Roman" w:hAnsi="Garamond" w:cs="Arial"/>
          <w:color w:val="000000" w:themeColor="text1"/>
        </w:rPr>
        <w:t>EBOM</w:t>
      </w:r>
      <w:r w:rsidR="006909DC">
        <w:rPr>
          <w:rFonts w:ascii="Garamond" w:eastAsia="Times New Roman" w:hAnsi="Garamond" w:cs="Arial"/>
          <w:color w:val="000000" w:themeColor="text1"/>
        </w:rPr>
        <w:t>)</w:t>
      </w:r>
      <w:r>
        <w:rPr>
          <w:rFonts w:ascii="Garamond" w:eastAsia="Times New Roman" w:hAnsi="Garamond" w:cs="Arial"/>
          <w:color w:val="000000" w:themeColor="text1"/>
        </w:rPr>
        <w:t xml:space="preserve"> </w:t>
      </w:r>
      <w:r w:rsidR="000408C1">
        <w:rPr>
          <w:rFonts w:ascii="Garamond" w:eastAsia="Times New Roman" w:hAnsi="Garamond" w:cs="Arial"/>
          <w:color w:val="000000" w:themeColor="text1"/>
        </w:rPr>
        <w:t>and Green Globes</w:t>
      </w:r>
      <w:r w:rsidR="006006AE">
        <w:rPr>
          <w:rFonts w:ascii="Garamond" w:eastAsia="Times New Roman" w:hAnsi="Garamond" w:cs="Arial"/>
          <w:color w:val="000000" w:themeColor="text1"/>
        </w:rPr>
        <w:t xml:space="preserve"> Sustainable Interiors (SI) and Existing Buildings (EB)</w:t>
      </w:r>
      <w:r>
        <w:rPr>
          <w:rFonts w:ascii="Garamond" w:eastAsia="Times New Roman" w:hAnsi="Garamond" w:cs="Arial"/>
          <w:color w:val="000000" w:themeColor="text1"/>
        </w:rPr>
        <w:t xml:space="preserve"> </w:t>
      </w:r>
      <w:r w:rsidR="000408C1">
        <w:rPr>
          <w:rFonts w:ascii="Garamond" w:eastAsia="Times New Roman" w:hAnsi="Garamond" w:cs="Arial"/>
          <w:color w:val="000000" w:themeColor="text1"/>
        </w:rPr>
        <w:t>building rating systems</w:t>
      </w:r>
    </w:p>
    <w:p w14:paraId="5A905EC2" w14:textId="77DC8168" w:rsidR="00FE218B" w:rsidRDefault="00FE218B" w:rsidP="00660914">
      <w:pPr>
        <w:pStyle w:val="ListParagraph"/>
        <w:numPr>
          <w:ilvl w:val="0"/>
          <w:numId w:val="13"/>
        </w:numPr>
        <w:shd w:val="clear" w:color="auto" w:fill="FFFFFF"/>
        <w:ind w:left="1080"/>
        <w:rPr>
          <w:rFonts w:ascii="Garamond" w:eastAsia="Times New Roman" w:hAnsi="Garamond" w:cs="Arial"/>
          <w:color w:val="000000" w:themeColor="text1"/>
        </w:rPr>
      </w:pPr>
      <w:r>
        <w:rPr>
          <w:rFonts w:ascii="Garamond" w:eastAsia="Times New Roman" w:hAnsi="Garamond" w:cs="Arial"/>
          <w:color w:val="000000" w:themeColor="text1"/>
        </w:rPr>
        <w:t>Green Operations and Management practices</w:t>
      </w:r>
    </w:p>
    <w:p w14:paraId="034FB867" w14:textId="7E601C1D" w:rsidR="00FE218B" w:rsidRDefault="00FE218B" w:rsidP="00660914">
      <w:pPr>
        <w:pStyle w:val="ListParagraph"/>
        <w:numPr>
          <w:ilvl w:val="0"/>
          <w:numId w:val="13"/>
        </w:numPr>
        <w:shd w:val="clear" w:color="auto" w:fill="FFFFFF"/>
        <w:ind w:left="1080"/>
        <w:rPr>
          <w:rFonts w:ascii="Garamond" w:eastAsia="Times New Roman" w:hAnsi="Garamond" w:cs="Arial"/>
          <w:color w:val="000000" w:themeColor="text1"/>
        </w:rPr>
      </w:pPr>
      <w:r>
        <w:rPr>
          <w:rFonts w:ascii="Garamond" w:eastAsia="Times New Roman" w:hAnsi="Garamond" w:cs="Arial"/>
          <w:color w:val="000000" w:themeColor="text1"/>
        </w:rPr>
        <w:t>National and International sustainability protocols</w:t>
      </w:r>
    </w:p>
    <w:p w14:paraId="18FB8865" w14:textId="563C9936" w:rsidR="00FE218B" w:rsidRDefault="000977C8" w:rsidP="00660914">
      <w:pPr>
        <w:pStyle w:val="ListParagraph"/>
        <w:numPr>
          <w:ilvl w:val="0"/>
          <w:numId w:val="13"/>
        </w:numPr>
        <w:shd w:val="clear" w:color="auto" w:fill="FFFFFF"/>
        <w:ind w:left="1080"/>
        <w:rPr>
          <w:rFonts w:ascii="Garamond" w:eastAsia="Times New Roman" w:hAnsi="Garamond" w:cs="Arial"/>
          <w:color w:val="000000" w:themeColor="text1"/>
        </w:rPr>
      </w:pPr>
      <w:r>
        <w:rPr>
          <w:rFonts w:ascii="Garamond" w:eastAsia="Times New Roman" w:hAnsi="Garamond" w:cs="Arial"/>
          <w:color w:val="000000" w:themeColor="text1"/>
        </w:rPr>
        <w:t xml:space="preserve">Use of </w:t>
      </w:r>
      <w:r w:rsidR="000408C1">
        <w:rPr>
          <w:rFonts w:ascii="Garamond" w:eastAsia="Times New Roman" w:hAnsi="Garamond" w:cs="Arial"/>
          <w:color w:val="000000" w:themeColor="text1"/>
        </w:rPr>
        <w:t xml:space="preserve">additional </w:t>
      </w:r>
      <w:r>
        <w:rPr>
          <w:rFonts w:ascii="Garamond" w:eastAsia="Times New Roman" w:hAnsi="Garamond" w:cs="Arial"/>
          <w:color w:val="000000" w:themeColor="text1"/>
        </w:rPr>
        <w:t>g</w:t>
      </w:r>
      <w:r w:rsidR="00FE218B">
        <w:rPr>
          <w:rFonts w:ascii="Garamond" w:eastAsia="Times New Roman" w:hAnsi="Garamond" w:cs="Arial"/>
          <w:color w:val="000000" w:themeColor="text1"/>
        </w:rPr>
        <w:t>reen building rating</w:t>
      </w:r>
      <w:r w:rsidR="000408C1">
        <w:rPr>
          <w:rFonts w:ascii="Garamond" w:eastAsia="Times New Roman" w:hAnsi="Garamond" w:cs="Arial"/>
          <w:color w:val="000000" w:themeColor="text1"/>
        </w:rPr>
        <w:t xml:space="preserve"> system</w:t>
      </w:r>
      <w:r w:rsidR="00FE218B">
        <w:rPr>
          <w:rFonts w:ascii="Garamond" w:eastAsia="Times New Roman" w:hAnsi="Garamond" w:cs="Arial"/>
          <w:color w:val="000000" w:themeColor="text1"/>
        </w:rPr>
        <w:t>s, including Energy Star and BREEAM</w:t>
      </w:r>
      <w:r w:rsidR="000408C1">
        <w:rPr>
          <w:rFonts w:ascii="Garamond" w:eastAsia="Times New Roman" w:hAnsi="Garamond" w:cs="Arial"/>
          <w:color w:val="000000" w:themeColor="text1"/>
        </w:rPr>
        <w:t>.</w:t>
      </w:r>
    </w:p>
    <w:p w14:paraId="1A0839B6" w14:textId="77777777" w:rsidR="00712957" w:rsidRDefault="00712957" w:rsidP="00A43DEE">
      <w:pPr>
        <w:shd w:val="clear" w:color="auto" w:fill="FFFFFF"/>
        <w:rPr>
          <w:rFonts w:ascii="Garamond" w:eastAsia="Times New Roman" w:hAnsi="Garamond" w:cs="Arial"/>
          <w:color w:val="000000" w:themeColor="text1"/>
        </w:rPr>
      </w:pPr>
    </w:p>
    <w:p w14:paraId="6550D871" w14:textId="659D54A3" w:rsidR="00A43DEE" w:rsidRDefault="00A43DEE" w:rsidP="00A43DEE">
      <w:pPr>
        <w:shd w:val="clear" w:color="auto" w:fill="FFFFFF"/>
        <w:rPr>
          <w:rFonts w:ascii="Garamond" w:eastAsia="Times New Roman" w:hAnsi="Garamond" w:cs="Arial"/>
          <w:color w:val="000000" w:themeColor="text1"/>
        </w:rPr>
      </w:pPr>
      <w:r>
        <w:rPr>
          <w:rFonts w:ascii="Garamond" w:eastAsia="Times New Roman" w:hAnsi="Garamond" w:cs="Arial"/>
          <w:color w:val="000000" w:themeColor="text1"/>
        </w:rPr>
        <w:t xml:space="preserve">The advent and availability of Fitwel and the WELL Building Standard support the positive trend focusing on health and wellness.  Therefore, it is anticipated that </w:t>
      </w:r>
      <w:r w:rsidR="00F80F9C">
        <w:rPr>
          <w:rFonts w:ascii="Garamond" w:eastAsia="Times New Roman" w:hAnsi="Garamond" w:cs="Arial"/>
          <w:color w:val="000000" w:themeColor="text1"/>
        </w:rPr>
        <w:t>in the</w:t>
      </w:r>
      <w:r>
        <w:rPr>
          <w:rFonts w:ascii="Garamond" w:eastAsia="Times New Roman" w:hAnsi="Garamond" w:cs="Arial"/>
          <w:color w:val="000000" w:themeColor="text1"/>
        </w:rPr>
        <w:t xml:space="preserve"> future, there will be more examples of health and wellness concepts incorporated into the workplace</w:t>
      </w:r>
      <w:r w:rsidR="00F80F9C">
        <w:rPr>
          <w:rFonts w:ascii="Garamond" w:eastAsia="Times New Roman" w:hAnsi="Garamond" w:cs="Arial"/>
          <w:color w:val="000000" w:themeColor="text1"/>
        </w:rPr>
        <w:t xml:space="preserve"> and </w:t>
      </w:r>
      <w:r w:rsidR="006909DC">
        <w:rPr>
          <w:rFonts w:ascii="Garamond" w:eastAsia="Times New Roman" w:hAnsi="Garamond" w:cs="Arial"/>
          <w:color w:val="000000" w:themeColor="text1"/>
        </w:rPr>
        <w:t>opportunities to re-evaluate</w:t>
      </w:r>
      <w:r w:rsidR="00F80F9C">
        <w:rPr>
          <w:rFonts w:ascii="Garamond" w:eastAsia="Times New Roman" w:hAnsi="Garamond" w:cs="Arial"/>
          <w:color w:val="000000" w:themeColor="text1"/>
        </w:rPr>
        <w:t xml:space="preserve"> leasing language reflecting </w:t>
      </w:r>
      <w:r w:rsidR="001E1A32">
        <w:rPr>
          <w:rFonts w:ascii="Garamond" w:eastAsia="Times New Roman" w:hAnsi="Garamond" w:cs="Arial"/>
          <w:color w:val="000000" w:themeColor="text1"/>
        </w:rPr>
        <w:t>this</w:t>
      </w:r>
      <w:r>
        <w:rPr>
          <w:rFonts w:ascii="Garamond" w:eastAsia="Times New Roman" w:hAnsi="Garamond" w:cs="Arial"/>
          <w:color w:val="000000" w:themeColor="text1"/>
        </w:rPr>
        <w:t xml:space="preserve"> trend</w:t>
      </w:r>
      <w:r w:rsidR="00F80F9C">
        <w:rPr>
          <w:rFonts w:ascii="Garamond" w:eastAsia="Times New Roman" w:hAnsi="Garamond" w:cs="Arial"/>
          <w:color w:val="000000" w:themeColor="text1"/>
        </w:rPr>
        <w:t>.</w:t>
      </w:r>
      <w:r>
        <w:rPr>
          <w:rFonts w:ascii="Garamond" w:eastAsia="Times New Roman" w:hAnsi="Garamond" w:cs="Arial"/>
          <w:color w:val="000000" w:themeColor="text1"/>
        </w:rPr>
        <w:t xml:space="preserve"> </w:t>
      </w:r>
    </w:p>
    <w:p w14:paraId="10E127AF" w14:textId="77777777" w:rsidR="002B02E6" w:rsidRDefault="002B02E6" w:rsidP="006B7617">
      <w:pPr>
        <w:rPr>
          <w:rFonts w:ascii="Garamond" w:hAnsi="Garamond"/>
          <w:b/>
          <w:color w:val="000000" w:themeColor="text1"/>
        </w:rPr>
      </w:pPr>
    </w:p>
    <w:p w14:paraId="5218B726" w14:textId="0E23DCFA" w:rsidR="006B7617" w:rsidRDefault="006B7617" w:rsidP="00A03DB7">
      <w:pPr>
        <w:pStyle w:val="Heading2"/>
      </w:pPr>
      <w:r>
        <w:t xml:space="preserve">Section 3d: Examples of Health and Wellness Interventions </w:t>
      </w:r>
      <w:r w:rsidR="009E707C">
        <w:t>Integrating Design and Behavior</w:t>
      </w:r>
      <w:r w:rsidR="00D85331">
        <w:t xml:space="preserve"> </w:t>
      </w:r>
      <w:r>
        <w:t>within the Built Environment</w:t>
      </w:r>
    </w:p>
    <w:p w14:paraId="2BE2244C" w14:textId="2A7EFF58" w:rsidR="00FD1900" w:rsidRDefault="00FD1900" w:rsidP="006B7617">
      <w:pPr>
        <w:rPr>
          <w:rFonts w:ascii="Garamond" w:hAnsi="Garamond"/>
          <w:color w:val="000000" w:themeColor="text1"/>
        </w:rPr>
      </w:pPr>
      <w:r>
        <w:rPr>
          <w:rFonts w:ascii="Garamond" w:hAnsi="Garamond"/>
          <w:color w:val="000000" w:themeColor="text1"/>
        </w:rPr>
        <w:lastRenderedPageBreak/>
        <w:t>Examples of interventions that positively impact the built environment include updating operational policies as well as providing the physical design elements that support the</w:t>
      </w:r>
      <w:r w:rsidR="000347F1">
        <w:rPr>
          <w:rFonts w:ascii="Garamond" w:hAnsi="Garamond"/>
          <w:color w:val="000000" w:themeColor="text1"/>
        </w:rPr>
        <w:t>se</w:t>
      </w:r>
      <w:r>
        <w:rPr>
          <w:rFonts w:ascii="Garamond" w:hAnsi="Garamond"/>
          <w:color w:val="000000" w:themeColor="text1"/>
        </w:rPr>
        <w:t xml:space="preserve"> operational policies.</w:t>
      </w:r>
    </w:p>
    <w:p w14:paraId="4BF515CF" w14:textId="77777777" w:rsidR="00FD1900" w:rsidRDefault="00FD1900" w:rsidP="006B7617">
      <w:pPr>
        <w:rPr>
          <w:rFonts w:ascii="Garamond" w:hAnsi="Garamond"/>
          <w:color w:val="000000" w:themeColor="text1"/>
        </w:rPr>
      </w:pPr>
    </w:p>
    <w:p w14:paraId="0CF0D3B3" w14:textId="0D18356A" w:rsidR="00252A57" w:rsidRDefault="00FD1900" w:rsidP="006B7617">
      <w:pPr>
        <w:rPr>
          <w:rFonts w:ascii="Garamond" w:hAnsi="Garamond"/>
          <w:color w:val="000000" w:themeColor="text1"/>
        </w:rPr>
      </w:pPr>
      <w:r w:rsidRPr="00F25C27">
        <w:rPr>
          <w:rFonts w:ascii="Garamond" w:hAnsi="Garamond"/>
          <w:b/>
          <w:color w:val="000000" w:themeColor="text1"/>
        </w:rPr>
        <w:t>Example 1</w:t>
      </w:r>
      <w:r>
        <w:rPr>
          <w:rFonts w:ascii="Garamond" w:hAnsi="Garamond"/>
          <w:color w:val="000000" w:themeColor="text1"/>
        </w:rPr>
        <w:t xml:space="preserve">: In addressing “Smoking Cessation” there are operational policies and procedures that state a building is “smoke free” and does not allow smoking within any portion of a building and its related exterior spaces (i.e. courtyards accessed directly from the building).  </w:t>
      </w:r>
      <w:r w:rsidR="002B02E6">
        <w:rPr>
          <w:rFonts w:ascii="Garamond" w:hAnsi="Garamond"/>
          <w:color w:val="000000" w:themeColor="text1"/>
        </w:rPr>
        <w:t xml:space="preserve">Operationally, there is </w:t>
      </w:r>
      <w:r>
        <w:rPr>
          <w:rFonts w:ascii="Garamond" w:hAnsi="Garamond"/>
          <w:color w:val="000000" w:themeColor="text1"/>
        </w:rPr>
        <w:t xml:space="preserve">an opportunity to provide access to education programs for </w:t>
      </w:r>
      <w:r w:rsidR="00DC056B">
        <w:rPr>
          <w:rFonts w:ascii="Garamond" w:hAnsi="Garamond"/>
          <w:color w:val="000000" w:themeColor="text1"/>
        </w:rPr>
        <w:t>occupants</w:t>
      </w:r>
      <w:r>
        <w:rPr>
          <w:rFonts w:ascii="Garamond" w:hAnsi="Garamond"/>
          <w:color w:val="000000" w:themeColor="text1"/>
        </w:rPr>
        <w:t xml:space="preserve"> that do smoke</w:t>
      </w:r>
      <w:r w:rsidR="009C20D0">
        <w:rPr>
          <w:rFonts w:ascii="Garamond" w:hAnsi="Garamond"/>
          <w:color w:val="000000" w:themeColor="text1"/>
        </w:rPr>
        <w:t>,</w:t>
      </w:r>
      <w:r>
        <w:rPr>
          <w:rFonts w:ascii="Garamond" w:hAnsi="Garamond"/>
          <w:color w:val="000000" w:themeColor="text1"/>
        </w:rPr>
        <w:t xml:space="preserve"> including resources on quitting smoking.  In addressing those occupants that do choose to smoke, a designated outdoor space could be required.  The design </w:t>
      </w:r>
      <w:r w:rsidR="002B02E6">
        <w:rPr>
          <w:rFonts w:ascii="Garamond" w:hAnsi="Garamond"/>
          <w:color w:val="000000" w:themeColor="text1"/>
        </w:rPr>
        <w:t>sh</w:t>
      </w:r>
      <w:r w:rsidR="00F80F9C">
        <w:rPr>
          <w:rFonts w:ascii="Garamond" w:hAnsi="Garamond"/>
          <w:color w:val="000000" w:themeColor="text1"/>
        </w:rPr>
        <w:t xml:space="preserve">ould </w:t>
      </w:r>
      <w:r>
        <w:rPr>
          <w:rFonts w:ascii="Garamond" w:hAnsi="Garamond"/>
          <w:color w:val="000000" w:themeColor="text1"/>
        </w:rPr>
        <w:t xml:space="preserve">include </w:t>
      </w:r>
      <w:r w:rsidR="001E1A32">
        <w:rPr>
          <w:rFonts w:ascii="Garamond" w:hAnsi="Garamond"/>
          <w:color w:val="000000" w:themeColor="text1"/>
        </w:rPr>
        <w:t xml:space="preserve">the </w:t>
      </w:r>
      <w:r w:rsidR="002B02E6">
        <w:rPr>
          <w:rFonts w:ascii="Garamond" w:hAnsi="Garamond"/>
          <w:color w:val="000000" w:themeColor="text1"/>
        </w:rPr>
        <w:t xml:space="preserve">evaluation and </w:t>
      </w:r>
      <w:r w:rsidR="001E1A32">
        <w:rPr>
          <w:rFonts w:ascii="Garamond" w:hAnsi="Garamond"/>
          <w:color w:val="000000" w:themeColor="text1"/>
        </w:rPr>
        <w:t xml:space="preserve">selection of </w:t>
      </w:r>
      <w:r>
        <w:rPr>
          <w:rFonts w:ascii="Garamond" w:hAnsi="Garamond"/>
          <w:color w:val="000000" w:themeColor="text1"/>
        </w:rPr>
        <w:t>location</w:t>
      </w:r>
      <w:r w:rsidR="009C20D0">
        <w:rPr>
          <w:rFonts w:ascii="Garamond" w:hAnsi="Garamond"/>
          <w:color w:val="000000" w:themeColor="text1"/>
        </w:rPr>
        <w:t>s</w:t>
      </w:r>
      <w:r>
        <w:rPr>
          <w:rFonts w:ascii="Garamond" w:hAnsi="Garamond"/>
          <w:color w:val="000000" w:themeColor="text1"/>
        </w:rPr>
        <w:t xml:space="preserve"> </w:t>
      </w:r>
      <w:r w:rsidR="009C20D0">
        <w:rPr>
          <w:rFonts w:ascii="Garamond" w:hAnsi="Garamond"/>
          <w:color w:val="000000" w:themeColor="text1"/>
        </w:rPr>
        <w:t xml:space="preserve">that do </w:t>
      </w:r>
      <w:r>
        <w:rPr>
          <w:rFonts w:ascii="Garamond" w:hAnsi="Garamond"/>
          <w:color w:val="000000" w:themeColor="text1"/>
        </w:rPr>
        <w:t xml:space="preserve">not negatively impact outdoor </w:t>
      </w:r>
      <w:r w:rsidR="00F80F9C">
        <w:rPr>
          <w:rFonts w:ascii="Garamond" w:hAnsi="Garamond"/>
          <w:color w:val="000000" w:themeColor="text1"/>
        </w:rPr>
        <w:t xml:space="preserve">air </w:t>
      </w:r>
      <w:r>
        <w:rPr>
          <w:rFonts w:ascii="Garamond" w:hAnsi="Garamond"/>
          <w:color w:val="000000" w:themeColor="text1"/>
        </w:rPr>
        <w:t>intakes and signage that dictates where smoking is and isn’t allowed in designated exterior areas.</w:t>
      </w:r>
    </w:p>
    <w:p w14:paraId="26C9747D" w14:textId="1986B8A7" w:rsidR="00FD1900" w:rsidRDefault="00FD1900" w:rsidP="006B7617">
      <w:pPr>
        <w:rPr>
          <w:rFonts w:ascii="Garamond" w:hAnsi="Garamond"/>
          <w:color w:val="000000" w:themeColor="text1"/>
        </w:rPr>
      </w:pPr>
    </w:p>
    <w:p w14:paraId="60669EF4" w14:textId="0DF880B1" w:rsidR="00FD1900" w:rsidRDefault="00FD1900" w:rsidP="006B7617">
      <w:pPr>
        <w:rPr>
          <w:rFonts w:ascii="Garamond" w:hAnsi="Garamond"/>
          <w:color w:val="000000" w:themeColor="text1"/>
        </w:rPr>
      </w:pPr>
      <w:r>
        <w:rPr>
          <w:rFonts w:ascii="Garamond" w:hAnsi="Garamond"/>
          <w:b/>
          <w:color w:val="000000" w:themeColor="text1"/>
        </w:rPr>
        <w:t>Example 2</w:t>
      </w:r>
      <w:r>
        <w:rPr>
          <w:rFonts w:ascii="Garamond" w:hAnsi="Garamond"/>
          <w:color w:val="000000" w:themeColor="text1"/>
        </w:rPr>
        <w:t xml:space="preserve">: In addressing “Exercise” there are several </w:t>
      </w:r>
      <w:r w:rsidR="007931D9">
        <w:rPr>
          <w:rFonts w:ascii="Garamond" w:hAnsi="Garamond"/>
          <w:color w:val="000000" w:themeColor="text1"/>
        </w:rPr>
        <w:t xml:space="preserve">aspects of the </w:t>
      </w:r>
      <w:r>
        <w:rPr>
          <w:rFonts w:ascii="Garamond" w:hAnsi="Garamond"/>
          <w:color w:val="000000" w:themeColor="text1"/>
        </w:rPr>
        <w:t xml:space="preserve">physical environment that can be </w:t>
      </w:r>
      <w:r w:rsidR="00202786">
        <w:rPr>
          <w:rFonts w:ascii="Garamond" w:hAnsi="Garamond"/>
          <w:color w:val="000000" w:themeColor="text1"/>
        </w:rPr>
        <w:t>considered in</w:t>
      </w:r>
      <w:r>
        <w:rPr>
          <w:rFonts w:ascii="Garamond" w:hAnsi="Garamond"/>
          <w:color w:val="000000" w:themeColor="text1"/>
        </w:rPr>
        <w:t xml:space="preserve"> the design</w:t>
      </w:r>
      <w:r w:rsidR="009C20D0">
        <w:rPr>
          <w:rFonts w:ascii="Garamond" w:hAnsi="Garamond"/>
          <w:color w:val="000000" w:themeColor="text1"/>
        </w:rPr>
        <w:t xml:space="preserve"> of a specific pro</w:t>
      </w:r>
      <w:r w:rsidR="00D670E4">
        <w:rPr>
          <w:rFonts w:ascii="Garamond" w:hAnsi="Garamond"/>
          <w:color w:val="000000" w:themeColor="text1"/>
        </w:rPr>
        <w:t>j</w:t>
      </w:r>
      <w:r w:rsidR="009C20D0">
        <w:rPr>
          <w:rFonts w:ascii="Garamond" w:hAnsi="Garamond"/>
          <w:color w:val="000000" w:themeColor="text1"/>
        </w:rPr>
        <w:t>ect</w:t>
      </w:r>
      <w:r>
        <w:rPr>
          <w:rFonts w:ascii="Garamond" w:hAnsi="Garamond"/>
          <w:color w:val="000000" w:themeColor="text1"/>
        </w:rPr>
        <w:t xml:space="preserve">.  In an existing building, signage and </w:t>
      </w:r>
      <w:r w:rsidR="009C20D0">
        <w:rPr>
          <w:rFonts w:ascii="Garamond" w:hAnsi="Garamond"/>
          <w:color w:val="000000" w:themeColor="text1"/>
        </w:rPr>
        <w:t>c</w:t>
      </w:r>
      <w:r>
        <w:rPr>
          <w:rFonts w:ascii="Garamond" w:hAnsi="Garamond"/>
          <w:color w:val="000000" w:themeColor="text1"/>
        </w:rPr>
        <w:t>ues that clearly</w:t>
      </w:r>
      <w:r w:rsidR="00035741">
        <w:rPr>
          <w:rFonts w:ascii="Garamond" w:hAnsi="Garamond"/>
          <w:color w:val="000000" w:themeColor="text1"/>
        </w:rPr>
        <w:t xml:space="preserve"> show where the staircase is located to encourage occupant use coupled with building operations supplying a </w:t>
      </w:r>
      <w:r w:rsidR="00726772">
        <w:rPr>
          <w:rFonts w:ascii="Garamond" w:hAnsi="Garamond"/>
          <w:color w:val="000000" w:themeColor="text1"/>
        </w:rPr>
        <w:t>smart</w:t>
      </w:r>
      <w:r w:rsidR="006A0A78">
        <w:rPr>
          <w:rFonts w:ascii="Garamond" w:hAnsi="Garamond"/>
          <w:color w:val="000000" w:themeColor="text1"/>
        </w:rPr>
        <w:t xml:space="preserve"> phone </w:t>
      </w:r>
      <w:r w:rsidR="00726772">
        <w:rPr>
          <w:rFonts w:ascii="Garamond" w:hAnsi="Garamond"/>
          <w:color w:val="000000" w:themeColor="text1"/>
        </w:rPr>
        <w:t>app</w:t>
      </w:r>
      <w:r w:rsidR="00115481">
        <w:rPr>
          <w:rFonts w:ascii="Garamond" w:hAnsi="Garamond"/>
          <w:color w:val="000000" w:themeColor="text1"/>
        </w:rPr>
        <w:t xml:space="preserve"> </w:t>
      </w:r>
      <w:r w:rsidR="006A0A78">
        <w:rPr>
          <w:rFonts w:ascii="Garamond" w:hAnsi="Garamond"/>
          <w:color w:val="000000" w:themeColor="text1"/>
        </w:rPr>
        <w:t>or other device</w:t>
      </w:r>
      <w:r w:rsidR="00035741">
        <w:rPr>
          <w:rFonts w:ascii="Garamond" w:hAnsi="Garamond"/>
          <w:color w:val="000000" w:themeColor="text1"/>
        </w:rPr>
        <w:t xml:space="preserve"> for occupants to utilize to measure their activity (such as steps, heart rate, etc.) </w:t>
      </w:r>
      <w:r w:rsidR="007931D9">
        <w:rPr>
          <w:rFonts w:ascii="Garamond" w:hAnsi="Garamond"/>
          <w:color w:val="000000" w:themeColor="text1"/>
        </w:rPr>
        <w:t xml:space="preserve">is an example of </w:t>
      </w:r>
      <w:r w:rsidR="00035741">
        <w:rPr>
          <w:rFonts w:ascii="Garamond" w:hAnsi="Garamond"/>
          <w:color w:val="000000" w:themeColor="text1"/>
        </w:rPr>
        <w:t>a physical environmental intervention coupled with operational support to encourage healthy behaviors.</w:t>
      </w:r>
    </w:p>
    <w:p w14:paraId="053FCE41" w14:textId="7BD85852" w:rsidR="00035741" w:rsidRDefault="00035741" w:rsidP="006B7617">
      <w:pPr>
        <w:rPr>
          <w:rFonts w:ascii="Garamond" w:hAnsi="Garamond"/>
          <w:color w:val="000000" w:themeColor="text1"/>
        </w:rPr>
      </w:pPr>
    </w:p>
    <w:p w14:paraId="5935E272" w14:textId="4EEF276E" w:rsidR="00574FA9" w:rsidRDefault="00035741" w:rsidP="006B7617">
      <w:pPr>
        <w:rPr>
          <w:rFonts w:ascii="Garamond" w:hAnsi="Garamond"/>
          <w:color w:val="000000" w:themeColor="text1"/>
        </w:rPr>
      </w:pPr>
      <w:r>
        <w:rPr>
          <w:rFonts w:ascii="Garamond" w:hAnsi="Garamond"/>
          <w:b/>
          <w:color w:val="000000" w:themeColor="text1"/>
        </w:rPr>
        <w:t>Example 3</w:t>
      </w:r>
      <w:r>
        <w:rPr>
          <w:rFonts w:ascii="Garamond" w:hAnsi="Garamond"/>
          <w:color w:val="000000" w:themeColor="text1"/>
        </w:rPr>
        <w:t xml:space="preserve">: </w:t>
      </w:r>
      <w:r w:rsidR="00574FA9">
        <w:rPr>
          <w:rFonts w:ascii="Garamond" w:hAnsi="Garamond"/>
          <w:color w:val="000000" w:themeColor="text1"/>
        </w:rPr>
        <w:t xml:space="preserve">In addressing “Diet” there is an opportunity for the built environment to provide filtered water stations for hydration in convenient and obvious locations with signage that assists occupants with access to water.  This could be coupled with an operational policy that all </w:t>
      </w:r>
      <w:r w:rsidR="009E707C">
        <w:rPr>
          <w:rFonts w:ascii="Garamond" w:hAnsi="Garamond"/>
          <w:color w:val="000000" w:themeColor="text1"/>
        </w:rPr>
        <w:t>food service</w:t>
      </w:r>
      <w:r w:rsidR="0070082C">
        <w:rPr>
          <w:rFonts w:ascii="Garamond" w:hAnsi="Garamond"/>
          <w:color w:val="000000" w:themeColor="text1"/>
        </w:rPr>
        <w:t>s available on-site</w:t>
      </w:r>
      <w:r w:rsidR="002B631F">
        <w:rPr>
          <w:rFonts w:ascii="Garamond" w:hAnsi="Garamond"/>
          <w:color w:val="000000" w:themeColor="text1"/>
        </w:rPr>
        <w:t xml:space="preserve">, </w:t>
      </w:r>
      <w:r w:rsidR="0070082C">
        <w:rPr>
          <w:rFonts w:ascii="Garamond" w:hAnsi="Garamond"/>
          <w:color w:val="000000" w:themeColor="text1"/>
        </w:rPr>
        <w:t>such as cafeterias</w:t>
      </w:r>
      <w:r w:rsidR="002B631F">
        <w:rPr>
          <w:rFonts w:ascii="Garamond" w:hAnsi="Garamond"/>
          <w:color w:val="000000" w:themeColor="text1"/>
        </w:rPr>
        <w:t xml:space="preserve">, </w:t>
      </w:r>
      <w:r w:rsidR="00574FA9">
        <w:rPr>
          <w:rFonts w:ascii="Garamond" w:hAnsi="Garamond"/>
          <w:color w:val="000000" w:themeColor="text1"/>
        </w:rPr>
        <w:t xml:space="preserve">include healthy </w:t>
      </w:r>
      <w:r w:rsidR="0070082C">
        <w:rPr>
          <w:rFonts w:ascii="Garamond" w:hAnsi="Garamond"/>
          <w:color w:val="000000" w:themeColor="text1"/>
        </w:rPr>
        <w:t xml:space="preserve">meals </w:t>
      </w:r>
      <w:r w:rsidR="00574FA9">
        <w:rPr>
          <w:rFonts w:ascii="Garamond" w:hAnsi="Garamond"/>
          <w:color w:val="000000" w:themeColor="text1"/>
        </w:rPr>
        <w:t>and beverages</w:t>
      </w:r>
      <w:r w:rsidR="007931D9">
        <w:rPr>
          <w:rFonts w:ascii="Garamond" w:hAnsi="Garamond"/>
          <w:color w:val="000000" w:themeColor="text1"/>
        </w:rPr>
        <w:t>,</w:t>
      </w:r>
      <w:r w:rsidR="00A42295">
        <w:rPr>
          <w:rFonts w:ascii="Garamond" w:hAnsi="Garamond"/>
          <w:color w:val="000000" w:themeColor="text1"/>
        </w:rPr>
        <w:t xml:space="preserve"> </w:t>
      </w:r>
      <w:r w:rsidR="00574FA9">
        <w:rPr>
          <w:rFonts w:ascii="Garamond" w:hAnsi="Garamond"/>
          <w:color w:val="000000" w:themeColor="text1"/>
        </w:rPr>
        <w:t>identifying the amount of sugar and calories in each choice.</w:t>
      </w:r>
      <w:r w:rsidR="0070082C">
        <w:rPr>
          <w:rFonts w:ascii="Garamond" w:hAnsi="Garamond"/>
          <w:color w:val="000000" w:themeColor="text1"/>
        </w:rPr>
        <w:t xml:space="preserve">  Policies and/or postings could also include a listing of restaurant</w:t>
      </w:r>
      <w:r w:rsidR="001E1A32">
        <w:rPr>
          <w:rFonts w:ascii="Garamond" w:hAnsi="Garamond"/>
          <w:color w:val="000000" w:themeColor="text1"/>
        </w:rPr>
        <w:t>s</w:t>
      </w:r>
      <w:r w:rsidR="0070082C">
        <w:rPr>
          <w:rFonts w:ascii="Garamond" w:hAnsi="Garamond"/>
          <w:color w:val="000000" w:themeColor="text1"/>
        </w:rPr>
        <w:t xml:space="preserve"> that are available within walking distance from the building location; suppo</w:t>
      </w:r>
      <w:r w:rsidR="00202786">
        <w:rPr>
          <w:rFonts w:ascii="Garamond" w:hAnsi="Garamond"/>
          <w:color w:val="000000" w:themeColor="text1"/>
        </w:rPr>
        <w:t>rting both exercise and diet</w:t>
      </w:r>
      <w:r w:rsidR="0070082C">
        <w:rPr>
          <w:rFonts w:ascii="Garamond" w:hAnsi="Garamond"/>
          <w:color w:val="000000" w:themeColor="text1"/>
        </w:rPr>
        <w:t xml:space="preserve">. </w:t>
      </w:r>
    </w:p>
    <w:p w14:paraId="59FFF89C" w14:textId="67BC6CF2" w:rsidR="00574FA9" w:rsidRDefault="00574FA9" w:rsidP="006B7617">
      <w:pPr>
        <w:rPr>
          <w:rFonts w:ascii="Garamond" w:hAnsi="Garamond"/>
          <w:color w:val="000000" w:themeColor="text1"/>
        </w:rPr>
      </w:pPr>
    </w:p>
    <w:p w14:paraId="42AC5E8C" w14:textId="2E0384D3" w:rsidR="00932670" w:rsidRPr="00932670" w:rsidRDefault="00932670" w:rsidP="006B7617">
      <w:pPr>
        <w:rPr>
          <w:rFonts w:ascii="Garamond" w:hAnsi="Garamond"/>
          <w:color w:val="000000" w:themeColor="text1"/>
        </w:rPr>
      </w:pPr>
      <w:r>
        <w:rPr>
          <w:rFonts w:ascii="Garamond" w:hAnsi="Garamond"/>
          <w:b/>
          <w:color w:val="000000" w:themeColor="text1"/>
        </w:rPr>
        <w:t>Example 4</w:t>
      </w:r>
      <w:r>
        <w:rPr>
          <w:rFonts w:ascii="Garamond" w:hAnsi="Garamond"/>
          <w:color w:val="000000" w:themeColor="text1"/>
        </w:rPr>
        <w:t xml:space="preserve">: In addressing “Indoor Environmental Quality” it is important to specify materials that have low volatile organic compounds </w:t>
      </w:r>
      <w:r w:rsidR="004341F5">
        <w:rPr>
          <w:rFonts w:ascii="Garamond" w:hAnsi="Garamond"/>
          <w:color w:val="000000" w:themeColor="text1"/>
        </w:rPr>
        <w:t xml:space="preserve">(VOCs) </w:t>
      </w:r>
      <w:r w:rsidR="001E1A32">
        <w:rPr>
          <w:rFonts w:ascii="Garamond" w:hAnsi="Garamond"/>
          <w:color w:val="000000" w:themeColor="text1"/>
        </w:rPr>
        <w:t>emissions</w:t>
      </w:r>
      <w:r w:rsidR="00DB444B">
        <w:rPr>
          <w:rFonts w:ascii="Garamond" w:hAnsi="Garamond"/>
          <w:color w:val="000000" w:themeColor="text1"/>
        </w:rPr>
        <w:t xml:space="preserve"> </w:t>
      </w:r>
      <w:r w:rsidR="004341F5">
        <w:rPr>
          <w:rFonts w:ascii="Garamond" w:hAnsi="Garamond"/>
          <w:color w:val="000000" w:themeColor="text1"/>
        </w:rPr>
        <w:t>into the</w:t>
      </w:r>
      <w:r w:rsidR="00DB444B">
        <w:rPr>
          <w:rFonts w:ascii="Garamond" w:hAnsi="Garamond"/>
          <w:color w:val="000000" w:themeColor="text1"/>
        </w:rPr>
        <w:t xml:space="preserve"> indoor air.</w:t>
      </w:r>
      <w:r>
        <w:rPr>
          <w:rFonts w:ascii="Garamond" w:hAnsi="Garamond"/>
          <w:color w:val="000000" w:themeColor="text1"/>
        </w:rPr>
        <w:t xml:space="preserve"> To avoid </w:t>
      </w:r>
      <w:r w:rsidR="001E1A32">
        <w:rPr>
          <w:rFonts w:ascii="Garamond" w:hAnsi="Garamond"/>
          <w:color w:val="000000" w:themeColor="text1"/>
        </w:rPr>
        <w:t>the emission of</w:t>
      </w:r>
      <w:r w:rsidR="009F1B2D">
        <w:rPr>
          <w:rFonts w:ascii="Garamond" w:hAnsi="Garamond"/>
          <w:color w:val="000000" w:themeColor="text1"/>
        </w:rPr>
        <w:t xml:space="preserve"> additional VOCs from operations and maintenance</w:t>
      </w:r>
      <w:r w:rsidR="00DB444B">
        <w:rPr>
          <w:rFonts w:ascii="Garamond" w:hAnsi="Garamond"/>
          <w:color w:val="000000" w:themeColor="text1"/>
        </w:rPr>
        <w:t xml:space="preserve">, </w:t>
      </w:r>
      <w:r>
        <w:rPr>
          <w:rFonts w:ascii="Garamond" w:hAnsi="Garamond"/>
          <w:color w:val="000000" w:themeColor="text1"/>
        </w:rPr>
        <w:t>operational polic</w:t>
      </w:r>
      <w:r w:rsidR="001E1A32">
        <w:rPr>
          <w:rFonts w:ascii="Garamond" w:hAnsi="Garamond"/>
          <w:color w:val="000000" w:themeColor="text1"/>
        </w:rPr>
        <w:t>ies</w:t>
      </w:r>
      <w:r>
        <w:rPr>
          <w:rFonts w:ascii="Garamond" w:hAnsi="Garamond"/>
          <w:color w:val="000000" w:themeColor="text1"/>
        </w:rPr>
        <w:t xml:space="preserve"> and procedure</w:t>
      </w:r>
      <w:r w:rsidR="001E1A32">
        <w:rPr>
          <w:rFonts w:ascii="Garamond" w:hAnsi="Garamond"/>
          <w:color w:val="000000" w:themeColor="text1"/>
        </w:rPr>
        <w:t>s</w:t>
      </w:r>
      <w:r w:rsidR="004C3AD4">
        <w:rPr>
          <w:rFonts w:ascii="Garamond" w:hAnsi="Garamond"/>
          <w:color w:val="000000" w:themeColor="text1"/>
        </w:rPr>
        <w:t xml:space="preserve"> </w:t>
      </w:r>
      <w:r w:rsidR="002B631F">
        <w:rPr>
          <w:rFonts w:ascii="Garamond" w:hAnsi="Garamond"/>
          <w:color w:val="000000" w:themeColor="text1"/>
        </w:rPr>
        <w:t>(e.g., “green cleaning”)</w:t>
      </w:r>
      <w:r w:rsidR="00F07E67">
        <w:rPr>
          <w:rFonts w:ascii="Garamond" w:hAnsi="Garamond"/>
          <w:color w:val="000000" w:themeColor="text1"/>
        </w:rPr>
        <w:t xml:space="preserve"> </w:t>
      </w:r>
      <w:r w:rsidR="004C3AD4">
        <w:rPr>
          <w:rFonts w:ascii="Garamond" w:hAnsi="Garamond"/>
          <w:color w:val="000000" w:themeColor="text1"/>
        </w:rPr>
        <w:t>need to include</w:t>
      </w:r>
      <w:r>
        <w:rPr>
          <w:rFonts w:ascii="Garamond" w:hAnsi="Garamond"/>
          <w:color w:val="000000" w:themeColor="text1"/>
        </w:rPr>
        <w:t xml:space="preserve"> maintenance and cleaning materials</w:t>
      </w:r>
      <w:r w:rsidR="004C3AD4">
        <w:rPr>
          <w:rFonts w:ascii="Garamond" w:hAnsi="Garamond"/>
          <w:color w:val="000000" w:themeColor="text1"/>
        </w:rPr>
        <w:t xml:space="preserve"> that</w:t>
      </w:r>
      <w:r>
        <w:rPr>
          <w:rFonts w:ascii="Garamond" w:hAnsi="Garamond"/>
          <w:color w:val="000000" w:themeColor="text1"/>
        </w:rPr>
        <w:t xml:space="preserve"> </w:t>
      </w:r>
      <w:r w:rsidR="004341F5">
        <w:rPr>
          <w:rFonts w:ascii="Garamond" w:hAnsi="Garamond"/>
          <w:color w:val="000000" w:themeColor="text1"/>
        </w:rPr>
        <w:t>are also low or no-VOC</w:t>
      </w:r>
      <w:r w:rsidR="00DB444B">
        <w:rPr>
          <w:rFonts w:ascii="Garamond" w:hAnsi="Garamond"/>
          <w:color w:val="000000" w:themeColor="text1"/>
        </w:rPr>
        <w:t>.</w:t>
      </w:r>
    </w:p>
    <w:p w14:paraId="106D29E7" w14:textId="77777777" w:rsidR="002B339A" w:rsidRDefault="002B339A" w:rsidP="006B7617">
      <w:pPr>
        <w:rPr>
          <w:rFonts w:ascii="Garamond" w:hAnsi="Garamond"/>
          <w:color w:val="000000" w:themeColor="text1"/>
        </w:rPr>
      </w:pPr>
    </w:p>
    <w:p w14:paraId="35C13149" w14:textId="2CBABD1B" w:rsidR="00035741" w:rsidRPr="00F25C27" w:rsidRDefault="00574FA9" w:rsidP="006B7617">
      <w:pPr>
        <w:rPr>
          <w:rFonts w:ascii="Garamond" w:hAnsi="Garamond"/>
          <w:color w:val="000000" w:themeColor="text1"/>
        </w:rPr>
      </w:pPr>
      <w:r>
        <w:rPr>
          <w:rFonts w:ascii="Garamond" w:hAnsi="Garamond"/>
          <w:color w:val="000000" w:themeColor="text1"/>
        </w:rPr>
        <w:t xml:space="preserve">Overall, </w:t>
      </w:r>
      <w:r w:rsidR="001C0A2C">
        <w:rPr>
          <w:rFonts w:ascii="Garamond" w:hAnsi="Garamond"/>
          <w:color w:val="000000" w:themeColor="text1"/>
        </w:rPr>
        <w:t xml:space="preserve">building design and </w:t>
      </w:r>
      <w:r>
        <w:rPr>
          <w:rFonts w:ascii="Garamond" w:hAnsi="Garamond"/>
          <w:color w:val="000000" w:themeColor="text1"/>
        </w:rPr>
        <w:t xml:space="preserve">operations working together provide a more complete </w:t>
      </w:r>
      <w:r w:rsidR="006A0A78">
        <w:rPr>
          <w:rFonts w:ascii="Garamond" w:hAnsi="Garamond"/>
          <w:color w:val="000000" w:themeColor="text1"/>
        </w:rPr>
        <w:t xml:space="preserve">and effective </w:t>
      </w:r>
      <w:r>
        <w:rPr>
          <w:rFonts w:ascii="Garamond" w:hAnsi="Garamond"/>
          <w:color w:val="000000" w:themeColor="text1"/>
        </w:rPr>
        <w:t xml:space="preserve">intervention to </w:t>
      </w:r>
      <w:r w:rsidR="00773ED4">
        <w:rPr>
          <w:rFonts w:ascii="Garamond" w:hAnsi="Garamond"/>
          <w:color w:val="000000" w:themeColor="text1"/>
        </w:rPr>
        <w:t xml:space="preserve">not only provide a healthy environment but </w:t>
      </w:r>
      <w:r w:rsidR="004C3AD4">
        <w:rPr>
          <w:rFonts w:ascii="Garamond" w:hAnsi="Garamond"/>
          <w:color w:val="000000" w:themeColor="text1"/>
        </w:rPr>
        <w:t xml:space="preserve">further </w:t>
      </w:r>
      <w:r>
        <w:rPr>
          <w:rFonts w:ascii="Garamond" w:hAnsi="Garamond"/>
          <w:color w:val="000000" w:themeColor="text1"/>
        </w:rPr>
        <w:t>encourage positive healthy behaviors supporting wellness goals.</w:t>
      </w:r>
    </w:p>
    <w:p w14:paraId="0D3657A5" w14:textId="77777777" w:rsidR="0075176D" w:rsidRDefault="0075176D" w:rsidP="005843FD">
      <w:pPr>
        <w:rPr>
          <w:rFonts w:ascii="Garamond" w:hAnsi="Garamond"/>
          <w:b/>
          <w:color w:val="000000" w:themeColor="text1"/>
        </w:rPr>
      </w:pPr>
    </w:p>
    <w:p w14:paraId="24DB3799" w14:textId="4BE956CD" w:rsidR="005843FD" w:rsidRPr="005843FD" w:rsidRDefault="0075176D" w:rsidP="00A03DB7">
      <w:pPr>
        <w:pStyle w:val="Heading1"/>
      </w:pPr>
      <w:r>
        <w:t xml:space="preserve">Section 4: </w:t>
      </w:r>
      <w:r w:rsidR="0020436E">
        <w:t xml:space="preserve">The </w:t>
      </w:r>
      <w:r w:rsidR="006B7617">
        <w:t>B</w:t>
      </w:r>
      <w:r w:rsidR="0020436E">
        <w:t xml:space="preserve">usiness </w:t>
      </w:r>
      <w:r w:rsidR="006B7617">
        <w:t>C</w:t>
      </w:r>
      <w:r w:rsidR="0020436E">
        <w:t xml:space="preserve">ase for </w:t>
      </w:r>
      <w:r w:rsidR="006B7617">
        <w:t>W</w:t>
      </w:r>
      <w:r w:rsidR="0020436E">
        <w:t xml:space="preserve">orkplace </w:t>
      </w:r>
      <w:r w:rsidR="006B7617">
        <w:t>W</w:t>
      </w:r>
      <w:r w:rsidR="0020436E">
        <w:t xml:space="preserve">ellness </w:t>
      </w:r>
    </w:p>
    <w:p w14:paraId="0F928310" w14:textId="77777777" w:rsidR="004C3AD4" w:rsidRDefault="004C3AD4" w:rsidP="008B273E">
      <w:pPr>
        <w:rPr>
          <w:rFonts w:ascii="Garamond" w:hAnsi="Garamond"/>
          <w:b/>
        </w:rPr>
      </w:pPr>
    </w:p>
    <w:p w14:paraId="56F0CFC2" w14:textId="57986554" w:rsidR="008B273E" w:rsidRPr="004C3AD4" w:rsidRDefault="00773ED4" w:rsidP="00A03DB7">
      <w:pPr>
        <w:pStyle w:val="Heading2"/>
      </w:pPr>
      <w:r>
        <w:t xml:space="preserve">The </w:t>
      </w:r>
      <w:r w:rsidR="00712957">
        <w:t>V</w:t>
      </w:r>
      <w:r w:rsidR="004C3AD4">
        <w:t xml:space="preserve">alue of a </w:t>
      </w:r>
      <w:r w:rsidR="00712957">
        <w:t>B</w:t>
      </w:r>
      <w:r w:rsidR="008B273E" w:rsidRPr="004C3AD4">
        <w:t xml:space="preserve">usiness </w:t>
      </w:r>
      <w:r w:rsidR="00712957">
        <w:t>C</w:t>
      </w:r>
      <w:r w:rsidR="008B273E" w:rsidRPr="004C3AD4">
        <w:t>ase</w:t>
      </w:r>
    </w:p>
    <w:p w14:paraId="6F5F2648" w14:textId="1FBD50B5" w:rsidR="008B273E" w:rsidRPr="004C3AD4" w:rsidRDefault="00B677A2" w:rsidP="008B273E">
      <w:pPr>
        <w:rPr>
          <w:rFonts w:ascii="Garamond" w:hAnsi="Garamond"/>
        </w:rPr>
      </w:pPr>
      <w:r w:rsidRPr="004C3AD4">
        <w:rPr>
          <w:rFonts w:ascii="Garamond" w:hAnsi="Garamond"/>
        </w:rPr>
        <w:t>A</w:t>
      </w:r>
      <w:r w:rsidR="008B273E" w:rsidRPr="004C3AD4">
        <w:rPr>
          <w:rFonts w:ascii="Garamond" w:hAnsi="Garamond"/>
        </w:rPr>
        <w:t xml:space="preserve"> business case is </w:t>
      </w:r>
      <w:r w:rsidRPr="004C3AD4">
        <w:rPr>
          <w:rFonts w:ascii="Garamond" w:hAnsi="Garamond"/>
        </w:rPr>
        <w:t xml:space="preserve">needed </w:t>
      </w:r>
      <w:r w:rsidR="008B273E" w:rsidRPr="004C3AD4">
        <w:rPr>
          <w:rFonts w:ascii="Garamond" w:hAnsi="Garamond"/>
        </w:rPr>
        <w:t xml:space="preserve">to </w:t>
      </w:r>
      <w:r w:rsidR="006933B6">
        <w:rPr>
          <w:rFonts w:ascii="Garamond" w:hAnsi="Garamond"/>
        </w:rPr>
        <w:t xml:space="preserve">explain the value of </w:t>
      </w:r>
      <w:r w:rsidR="00EA7E1C">
        <w:rPr>
          <w:rFonts w:ascii="Garamond" w:hAnsi="Garamond"/>
        </w:rPr>
        <w:t>suggested</w:t>
      </w:r>
      <w:r w:rsidR="00EA7E1C" w:rsidRPr="004C3AD4">
        <w:rPr>
          <w:rFonts w:ascii="Garamond" w:hAnsi="Garamond"/>
        </w:rPr>
        <w:t xml:space="preserve"> changes</w:t>
      </w:r>
      <w:r w:rsidR="008B273E" w:rsidRPr="004C3AD4">
        <w:rPr>
          <w:rFonts w:ascii="Garamond" w:hAnsi="Garamond"/>
        </w:rPr>
        <w:t xml:space="preserve"> in an organization’s direction. For buildings and health, the business case identifies specific investments that are intended</w:t>
      </w:r>
      <w:r w:rsidR="006933B6">
        <w:rPr>
          <w:rFonts w:ascii="Garamond" w:hAnsi="Garamond"/>
        </w:rPr>
        <w:t>: 1)</w:t>
      </w:r>
      <w:r w:rsidR="008B273E" w:rsidRPr="004C3AD4">
        <w:rPr>
          <w:rFonts w:ascii="Garamond" w:hAnsi="Garamond"/>
        </w:rPr>
        <w:t xml:space="preserve"> to reduce health risks associated with known environmental factors</w:t>
      </w:r>
      <w:r w:rsidR="00773ED4">
        <w:rPr>
          <w:rFonts w:ascii="Garamond" w:hAnsi="Garamond"/>
        </w:rPr>
        <w:t>,</w:t>
      </w:r>
      <w:r w:rsidR="008B273E" w:rsidRPr="004C3AD4">
        <w:rPr>
          <w:rFonts w:ascii="Garamond" w:hAnsi="Garamond"/>
        </w:rPr>
        <w:t xml:space="preserve"> such as</w:t>
      </w:r>
      <w:r w:rsidRPr="004C3AD4">
        <w:rPr>
          <w:rFonts w:ascii="Garamond" w:hAnsi="Garamond"/>
        </w:rPr>
        <w:t xml:space="preserve"> high indoor contaminant levels</w:t>
      </w:r>
      <w:r w:rsidR="00773ED4">
        <w:rPr>
          <w:rFonts w:ascii="Garamond" w:hAnsi="Garamond"/>
        </w:rPr>
        <w:t>;</w:t>
      </w:r>
      <w:r w:rsidR="008B273E" w:rsidRPr="004C3AD4">
        <w:rPr>
          <w:rFonts w:ascii="Garamond" w:hAnsi="Garamond"/>
        </w:rPr>
        <w:t xml:space="preserve"> or </w:t>
      </w:r>
      <w:r w:rsidR="006933B6">
        <w:rPr>
          <w:rFonts w:ascii="Garamond" w:hAnsi="Garamond"/>
        </w:rPr>
        <w:t xml:space="preserve">2) </w:t>
      </w:r>
      <w:r w:rsidR="008B273E" w:rsidRPr="004C3AD4">
        <w:rPr>
          <w:rFonts w:ascii="Garamond" w:hAnsi="Garamond"/>
        </w:rPr>
        <w:t>to enhance factors known to be associated with health improvements</w:t>
      </w:r>
      <w:r w:rsidR="00773ED4">
        <w:rPr>
          <w:rFonts w:ascii="Garamond" w:hAnsi="Garamond"/>
        </w:rPr>
        <w:t>,</w:t>
      </w:r>
      <w:r w:rsidR="008B273E" w:rsidRPr="004C3AD4">
        <w:rPr>
          <w:rFonts w:ascii="Garamond" w:hAnsi="Garamond"/>
        </w:rPr>
        <w:t xml:space="preserve"> such as </w:t>
      </w:r>
      <w:r w:rsidR="00B00ABE">
        <w:rPr>
          <w:rFonts w:ascii="Garamond" w:hAnsi="Garamond"/>
        </w:rPr>
        <w:t xml:space="preserve">access to </w:t>
      </w:r>
      <w:r w:rsidR="008B273E" w:rsidRPr="004C3AD4">
        <w:rPr>
          <w:rFonts w:ascii="Garamond" w:hAnsi="Garamond"/>
        </w:rPr>
        <w:t>light for circadian functioning</w:t>
      </w:r>
      <w:r w:rsidR="00773ED4">
        <w:rPr>
          <w:rFonts w:ascii="Garamond" w:hAnsi="Garamond"/>
        </w:rPr>
        <w:t>.</w:t>
      </w:r>
      <w:r w:rsidR="008B273E" w:rsidRPr="004C3AD4">
        <w:rPr>
          <w:rFonts w:ascii="Garamond" w:hAnsi="Garamond"/>
        </w:rPr>
        <w:t xml:space="preserve"> </w:t>
      </w:r>
    </w:p>
    <w:p w14:paraId="7E1298B1" w14:textId="77777777" w:rsidR="008B273E" w:rsidRPr="004C3AD4" w:rsidRDefault="008B273E" w:rsidP="008B273E">
      <w:pPr>
        <w:rPr>
          <w:rFonts w:ascii="Garamond" w:hAnsi="Garamond"/>
        </w:rPr>
      </w:pPr>
    </w:p>
    <w:p w14:paraId="304C8C12" w14:textId="52BE414B" w:rsidR="008B273E" w:rsidRPr="004C3AD4" w:rsidRDefault="00773ED4" w:rsidP="004C3AD4">
      <w:pPr>
        <w:rPr>
          <w:rFonts w:ascii="Garamond" w:hAnsi="Garamond"/>
        </w:rPr>
      </w:pPr>
      <w:r>
        <w:rPr>
          <w:rFonts w:ascii="Garamond" w:hAnsi="Garamond"/>
        </w:rPr>
        <w:t>Regarding</w:t>
      </w:r>
      <w:r w:rsidR="008B273E" w:rsidRPr="004C3AD4">
        <w:rPr>
          <w:rFonts w:ascii="Garamond" w:hAnsi="Garamond"/>
        </w:rPr>
        <w:t xml:space="preserve"> the first case</w:t>
      </w:r>
      <w:r>
        <w:rPr>
          <w:rFonts w:ascii="Garamond" w:hAnsi="Garamond"/>
        </w:rPr>
        <w:t xml:space="preserve"> –</w:t>
      </w:r>
      <w:r w:rsidR="008B273E" w:rsidRPr="004C3AD4">
        <w:rPr>
          <w:rFonts w:ascii="Garamond" w:hAnsi="Garamond"/>
        </w:rPr>
        <w:t xml:space="preserve"> reducing risks </w:t>
      </w:r>
      <w:r>
        <w:rPr>
          <w:rFonts w:ascii="Garamond" w:hAnsi="Garamond"/>
        </w:rPr>
        <w:t xml:space="preserve">-- </w:t>
      </w:r>
      <w:r w:rsidR="008B273E" w:rsidRPr="004C3AD4">
        <w:rPr>
          <w:rFonts w:ascii="Garamond" w:hAnsi="Garamond"/>
        </w:rPr>
        <w:t xml:space="preserve">extensive work has been done by the Lawrence Berkeley National Laboratory on air quality. In a macro-analysis of the economic benefits of improved air quality, Fisk and Rosenfeld (1997) estimated that productivity increases from reduced absenteeism </w:t>
      </w:r>
      <w:r w:rsidR="008B273E" w:rsidRPr="004C3AD4">
        <w:rPr>
          <w:rFonts w:ascii="Garamond" w:hAnsi="Garamond"/>
        </w:rPr>
        <w:lastRenderedPageBreak/>
        <w:t>and illness could be as high as $6 bil</w:t>
      </w:r>
      <w:r w:rsidR="004C3AD4">
        <w:rPr>
          <w:rFonts w:ascii="Garamond" w:hAnsi="Garamond"/>
        </w:rPr>
        <w:t>l</w:t>
      </w:r>
      <w:r w:rsidR="008B273E" w:rsidRPr="004C3AD4">
        <w:rPr>
          <w:rFonts w:ascii="Garamond" w:hAnsi="Garamond"/>
        </w:rPr>
        <w:t xml:space="preserve">ion from reduced asthma and allergies, and $10 billion for reduction in </w:t>
      </w:r>
      <w:r w:rsidR="00B677A2" w:rsidRPr="004C3AD4">
        <w:rPr>
          <w:rFonts w:ascii="Garamond" w:hAnsi="Garamond"/>
        </w:rPr>
        <w:t>s</w:t>
      </w:r>
      <w:r w:rsidR="008B273E" w:rsidRPr="004C3AD4">
        <w:rPr>
          <w:rFonts w:ascii="Garamond" w:hAnsi="Garamond"/>
        </w:rPr>
        <w:t xml:space="preserve">ick </w:t>
      </w:r>
      <w:r w:rsidR="00B677A2" w:rsidRPr="004C3AD4">
        <w:rPr>
          <w:rFonts w:ascii="Garamond" w:hAnsi="Garamond"/>
        </w:rPr>
        <w:t>b</w:t>
      </w:r>
      <w:r w:rsidR="008B273E" w:rsidRPr="004C3AD4">
        <w:rPr>
          <w:rFonts w:ascii="Garamond" w:hAnsi="Garamond"/>
        </w:rPr>
        <w:t xml:space="preserve">uilding </w:t>
      </w:r>
      <w:r w:rsidR="00B677A2" w:rsidRPr="004C3AD4">
        <w:rPr>
          <w:rFonts w:ascii="Garamond" w:hAnsi="Garamond"/>
        </w:rPr>
        <w:t>s</w:t>
      </w:r>
      <w:r w:rsidR="008B273E" w:rsidRPr="004C3AD4">
        <w:rPr>
          <w:rFonts w:ascii="Garamond" w:hAnsi="Garamond"/>
        </w:rPr>
        <w:t>yndrome</w:t>
      </w:r>
      <w:r w:rsidR="00B677A2" w:rsidRPr="004C3AD4">
        <w:rPr>
          <w:rFonts w:ascii="Garamond" w:hAnsi="Garamond"/>
        </w:rPr>
        <w:t xml:space="preserve"> symptoms</w:t>
      </w:r>
      <w:r w:rsidR="00030138">
        <w:rPr>
          <w:rStyle w:val="FootnoteReference"/>
          <w:rFonts w:ascii="Garamond" w:hAnsi="Garamond"/>
        </w:rPr>
        <w:footnoteReference w:id="5"/>
      </w:r>
      <w:r w:rsidR="008B273E" w:rsidRPr="004C3AD4">
        <w:rPr>
          <w:rFonts w:ascii="Garamond" w:hAnsi="Garamond"/>
        </w:rPr>
        <w:t xml:space="preserve">. </w:t>
      </w:r>
    </w:p>
    <w:p w14:paraId="667EBF6F" w14:textId="77777777" w:rsidR="00B677A2" w:rsidRPr="004C3AD4" w:rsidRDefault="00B677A2" w:rsidP="008B273E">
      <w:pPr>
        <w:rPr>
          <w:rFonts w:ascii="Garamond" w:hAnsi="Garamond"/>
        </w:rPr>
      </w:pPr>
    </w:p>
    <w:p w14:paraId="03A66862" w14:textId="50561FF4" w:rsidR="008B273E" w:rsidRPr="004C3AD4" w:rsidRDefault="008B273E" w:rsidP="008B273E">
      <w:pPr>
        <w:rPr>
          <w:rFonts w:ascii="Garamond" w:hAnsi="Garamond" w:cs="Arial"/>
          <w:color w:val="222222"/>
          <w:szCs w:val="19"/>
          <w:shd w:val="clear" w:color="auto" w:fill="FFFFFF"/>
        </w:rPr>
      </w:pPr>
      <w:r w:rsidRPr="004C3AD4">
        <w:rPr>
          <w:rFonts w:ascii="Garamond" w:hAnsi="Garamond"/>
        </w:rPr>
        <w:t xml:space="preserve">An example of the second </w:t>
      </w:r>
      <w:r w:rsidR="004C3AD4">
        <w:rPr>
          <w:rFonts w:ascii="Garamond" w:hAnsi="Garamond"/>
        </w:rPr>
        <w:t>case</w:t>
      </w:r>
      <w:r w:rsidRPr="004C3AD4">
        <w:rPr>
          <w:rFonts w:ascii="Garamond" w:hAnsi="Garamond"/>
        </w:rPr>
        <w:t xml:space="preserve"> </w:t>
      </w:r>
      <w:r w:rsidR="00773ED4">
        <w:rPr>
          <w:rFonts w:ascii="Garamond" w:hAnsi="Garamond"/>
        </w:rPr>
        <w:t xml:space="preserve">-- </w:t>
      </w:r>
      <w:r w:rsidRPr="004C3AD4">
        <w:rPr>
          <w:rFonts w:ascii="Garamond" w:hAnsi="Garamond"/>
        </w:rPr>
        <w:t>improving health outcomes</w:t>
      </w:r>
      <w:r w:rsidR="00773ED4">
        <w:rPr>
          <w:rFonts w:ascii="Garamond" w:hAnsi="Garamond"/>
        </w:rPr>
        <w:t xml:space="preserve"> – </w:t>
      </w:r>
      <w:r w:rsidRPr="004C3AD4">
        <w:rPr>
          <w:rFonts w:ascii="Garamond" w:hAnsi="Garamond"/>
        </w:rPr>
        <w:t xml:space="preserve"> would be to calculate the economic value of improved sleep linked to circadian effective light exposures during the day. A GSA project on circadian light found that office workers who received the most circadian stimulation at work</w:t>
      </w:r>
      <w:r w:rsidR="00E24EAA">
        <w:rPr>
          <w:rFonts w:ascii="Garamond" w:hAnsi="Garamond"/>
        </w:rPr>
        <w:t>,</w:t>
      </w:r>
      <w:r w:rsidRPr="004C3AD4">
        <w:rPr>
          <w:rFonts w:ascii="Garamond" w:hAnsi="Garamond"/>
        </w:rPr>
        <w:t xml:space="preserve"> during the daytime</w:t>
      </w:r>
      <w:r w:rsidR="004C3AD4">
        <w:rPr>
          <w:rFonts w:ascii="Garamond" w:hAnsi="Garamond"/>
        </w:rPr>
        <w:t>,</w:t>
      </w:r>
      <w:r w:rsidRPr="004C3AD4">
        <w:rPr>
          <w:rFonts w:ascii="Garamond" w:hAnsi="Garamond"/>
        </w:rPr>
        <w:t xml:space="preserve"> slept on average 30 minutes longer at night</w:t>
      </w:r>
      <w:r w:rsidR="004C3AD4">
        <w:rPr>
          <w:rStyle w:val="FootnoteReference"/>
          <w:rFonts w:ascii="Garamond" w:hAnsi="Garamond"/>
          <w:color w:val="000000" w:themeColor="text1"/>
        </w:rPr>
        <w:footnoteReference w:id="6"/>
      </w:r>
      <w:r w:rsidRPr="004C3AD4">
        <w:rPr>
          <w:rFonts w:ascii="Garamond" w:hAnsi="Garamond"/>
        </w:rPr>
        <w:t xml:space="preserve">. A recent RAND study on sleep (2016) </w:t>
      </w:r>
      <w:r w:rsidRPr="004C3AD4">
        <w:rPr>
          <w:rFonts w:ascii="Garamond" w:hAnsi="Garamond" w:cs="Arial"/>
          <w:color w:val="222222"/>
          <w:szCs w:val="19"/>
          <w:shd w:val="clear" w:color="auto" w:fill="FFFFFF"/>
        </w:rPr>
        <w:t>estimated that the US loses an equivalent of about 1.23 million working days</w:t>
      </w:r>
      <w:r w:rsidR="00EA7E1C">
        <w:rPr>
          <w:rFonts w:ascii="Garamond" w:hAnsi="Garamond" w:cs="Arial"/>
          <w:color w:val="222222"/>
          <w:szCs w:val="19"/>
          <w:shd w:val="clear" w:color="auto" w:fill="FFFFFF"/>
        </w:rPr>
        <w:t xml:space="preserve"> per </w:t>
      </w:r>
      <w:r w:rsidRPr="004C3AD4">
        <w:rPr>
          <w:rFonts w:ascii="Garamond" w:hAnsi="Garamond" w:cs="Arial"/>
          <w:color w:val="222222"/>
          <w:szCs w:val="19"/>
          <w:shd w:val="clear" w:color="auto" w:fill="FFFFFF"/>
        </w:rPr>
        <w:t>year due to sleep loss, translating to an economic cost of $9.9 million/year</w:t>
      </w:r>
      <w:r w:rsidR="00030138">
        <w:rPr>
          <w:rStyle w:val="FootnoteReference"/>
          <w:rFonts w:ascii="Garamond" w:hAnsi="Garamond" w:cs="Arial"/>
          <w:color w:val="222222"/>
          <w:szCs w:val="19"/>
          <w:shd w:val="clear" w:color="auto" w:fill="FFFFFF"/>
        </w:rPr>
        <w:footnoteReference w:id="7"/>
      </w:r>
      <w:r w:rsidRPr="004C3AD4">
        <w:rPr>
          <w:rFonts w:ascii="Garamond" w:hAnsi="Garamond" w:cs="Arial"/>
          <w:color w:val="222222"/>
          <w:szCs w:val="19"/>
          <w:shd w:val="clear" w:color="auto" w:fill="FFFFFF"/>
        </w:rPr>
        <w:t xml:space="preserve">.  These data could </w:t>
      </w:r>
      <w:r w:rsidR="00B677A2" w:rsidRPr="004C3AD4">
        <w:rPr>
          <w:rFonts w:ascii="Garamond" w:hAnsi="Garamond" w:cs="Arial"/>
          <w:color w:val="222222"/>
          <w:szCs w:val="19"/>
          <w:shd w:val="clear" w:color="auto" w:fill="FFFFFF"/>
        </w:rPr>
        <w:t>support</w:t>
      </w:r>
      <w:r w:rsidRPr="004C3AD4">
        <w:rPr>
          <w:rFonts w:ascii="Garamond" w:hAnsi="Garamond" w:cs="Arial"/>
          <w:color w:val="222222"/>
          <w:szCs w:val="19"/>
          <w:shd w:val="clear" w:color="auto" w:fill="FFFFFF"/>
        </w:rPr>
        <w:t xml:space="preserve"> a business case for investing in circadian effective light in daytime work environments.</w:t>
      </w:r>
    </w:p>
    <w:p w14:paraId="21FF22EA" w14:textId="77777777" w:rsidR="008B273E" w:rsidRPr="004C3AD4" w:rsidRDefault="008B273E" w:rsidP="008B273E">
      <w:pPr>
        <w:rPr>
          <w:rFonts w:ascii="Garamond" w:hAnsi="Garamond" w:cs="Arial"/>
          <w:b/>
          <w:color w:val="222222"/>
          <w:szCs w:val="19"/>
          <w:shd w:val="clear" w:color="auto" w:fill="FFFFFF"/>
        </w:rPr>
      </w:pPr>
    </w:p>
    <w:p w14:paraId="53EB1E08" w14:textId="3E9E6CA9" w:rsidR="008B273E" w:rsidRPr="004C3AD4" w:rsidRDefault="00773ED4" w:rsidP="00A03DB7">
      <w:pPr>
        <w:pStyle w:val="Heading2"/>
        <w:rPr>
          <w:sz w:val="36"/>
        </w:rPr>
      </w:pPr>
      <w:r>
        <w:rPr>
          <w:shd w:val="clear" w:color="auto" w:fill="FFFFFF"/>
        </w:rPr>
        <w:t xml:space="preserve">Challenges </w:t>
      </w:r>
      <w:r w:rsidR="0073221D">
        <w:rPr>
          <w:shd w:val="clear" w:color="auto" w:fill="FFFFFF"/>
        </w:rPr>
        <w:t>in</w:t>
      </w:r>
      <w:r w:rsidR="00224406" w:rsidRPr="004C3AD4">
        <w:rPr>
          <w:shd w:val="clear" w:color="auto" w:fill="FFFFFF"/>
        </w:rPr>
        <w:t xml:space="preserve"> </w:t>
      </w:r>
      <w:r w:rsidR="00712957">
        <w:rPr>
          <w:shd w:val="clear" w:color="auto" w:fill="FFFFFF"/>
        </w:rPr>
        <w:t>D</w:t>
      </w:r>
      <w:r w:rsidR="00224406" w:rsidRPr="004C3AD4">
        <w:rPr>
          <w:shd w:val="clear" w:color="auto" w:fill="FFFFFF"/>
        </w:rPr>
        <w:t>ev</w:t>
      </w:r>
      <w:r w:rsidR="005A69D1">
        <w:rPr>
          <w:shd w:val="clear" w:color="auto" w:fill="FFFFFF"/>
        </w:rPr>
        <w:t>e</w:t>
      </w:r>
      <w:r w:rsidR="00224406" w:rsidRPr="004C3AD4">
        <w:rPr>
          <w:shd w:val="clear" w:color="auto" w:fill="FFFFFF"/>
        </w:rPr>
        <w:t>loping</w:t>
      </w:r>
      <w:r w:rsidR="008B273E" w:rsidRPr="004C3AD4">
        <w:rPr>
          <w:shd w:val="clear" w:color="auto" w:fill="FFFFFF"/>
        </w:rPr>
        <w:t xml:space="preserve"> </w:t>
      </w:r>
      <w:r>
        <w:rPr>
          <w:shd w:val="clear" w:color="auto" w:fill="FFFFFF"/>
        </w:rPr>
        <w:t>a Health &amp; Wellness</w:t>
      </w:r>
      <w:r w:rsidRPr="004C3AD4">
        <w:rPr>
          <w:shd w:val="clear" w:color="auto" w:fill="FFFFFF"/>
        </w:rPr>
        <w:t xml:space="preserve"> </w:t>
      </w:r>
      <w:r w:rsidR="00712957">
        <w:rPr>
          <w:shd w:val="clear" w:color="auto" w:fill="FFFFFF"/>
        </w:rPr>
        <w:t>B</w:t>
      </w:r>
      <w:r w:rsidR="008B273E" w:rsidRPr="004C3AD4">
        <w:rPr>
          <w:shd w:val="clear" w:color="auto" w:fill="FFFFFF"/>
        </w:rPr>
        <w:t xml:space="preserve">usiness </w:t>
      </w:r>
      <w:r w:rsidR="00712957">
        <w:rPr>
          <w:shd w:val="clear" w:color="auto" w:fill="FFFFFF"/>
        </w:rPr>
        <w:t>C</w:t>
      </w:r>
      <w:r w:rsidR="008B273E" w:rsidRPr="004C3AD4">
        <w:rPr>
          <w:shd w:val="clear" w:color="auto" w:fill="FFFFFF"/>
        </w:rPr>
        <w:t>ase</w:t>
      </w:r>
    </w:p>
    <w:p w14:paraId="63CE8CE3" w14:textId="5ED3A99D" w:rsidR="008B273E" w:rsidRPr="004C3AD4" w:rsidRDefault="008B273E" w:rsidP="008B273E">
      <w:pPr>
        <w:rPr>
          <w:rFonts w:ascii="Garamond" w:hAnsi="Garamond"/>
        </w:rPr>
      </w:pPr>
      <w:r w:rsidRPr="004C3AD4">
        <w:rPr>
          <w:rFonts w:ascii="Garamond" w:hAnsi="Garamond"/>
        </w:rPr>
        <w:t>Developing a business case for overall investments to improve health in buildings is difficult</w:t>
      </w:r>
      <w:r w:rsidR="006933B6">
        <w:rPr>
          <w:rFonts w:ascii="Garamond" w:hAnsi="Garamond"/>
        </w:rPr>
        <w:t xml:space="preserve"> for a number of reasons, but particularly</w:t>
      </w:r>
      <w:r w:rsidRPr="004C3AD4">
        <w:rPr>
          <w:rFonts w:ascii="Garamond" w:hAnsi="Garamond"/>
        </w:rPr>
        <w:t xml:space="preserve"> because it requires calculating the </w:t>
      </w:r>
      <w:r w:rsidRPr="004C3AD4">
        <w:rPr>
          <w:rFonts w:ascii="Garamond" w:hAnsi="Garamond"/>
          <w:b/>
        </w:rPr>
        <w:t>combined effects</w:t>
      </w:r>
      <w:r w:rsidRPr="004C3AD4">
        <w:rPr>
          <w:rFonts w:ascii="Garamond" w:hAnsi="Garamond"/>
        </w:rPr>
        <w:t xml:space="preserve"> of multiple changes in design or operations to enhance health.  </w:t>
      </w:r>
      <w:r w:rsidR="005A69D1" w:rsidRPr="004C3AD4">
        <w:rPr>
          <w:rFonts w:ascii="Garamond" w:hAnsi="Garamond"/>
        </w:rPr>
        <w:t xml:space="preserve">Most </w:t>
      </w:r>
      <w:r w:rsidR="005A69D1">
        <w:rPr>
          <w:rFonts w:ascii="Garamond" w:hAnsi="Garamond"/>
        </w:rPr>
        <w:t xml:space="preserve">current </w:t>
      </w:r>
      <w:r w:rsidR="005A69D1" w:rsidRPr="004C3AD4">
        <w:rPr>
          <w:rFonts w:ascii="Garamond" w:hAnsi="Garamond"/>
        </w:rPr>
        <w:t xml:space="preserve">research on health in buildings focuses almost exclusively on single outcomes linked to a limited number of environmental factors, not combined health </w:t>
      </w:r>
      <w:r w:rsidR="005A69D1">
        <w:rPr>
          <w:rFonts w:ascii="Garamond" w:hAnsi="Garamond"/>
        </w:rPr>
        <w:t>effects</w:t>
      </w:r>
      <w:r w:rsidR="005A69D1" w:rsidRPr="004C3AD4">
        <w:rPr>
          <w:rFonts w:ascii="Garamond" w:hAnsi="Garamond"/>
        </w:rPr>
        <w:t xml:space="preserve"> linked to the many environmental conditions people experience daily</w:t>
      </w:r>
      <w:r w:rsidR="005A69D1">
        <w:rPr>
          <w:rFonts w:ascii="Garamond" w:hAnsi="Garamond"/>
        </w:rPr>
        <w:t>.  T</w:t>
      </w:r>
      <w:r w:rsidRPr="004C3AD4">
        <w:rPr>
          <w:rFonts w:ascii="Garamond" w:hAnsi="Garamond"/>
        </w:rPr>
        <w:t xml:space="preserve">here is no existing </w:t>
      </w:r>
      <w:r w:rsidR="0073221D">
        <w:rPr>
          <w:rFonts w:ascii="Garamond" w:hAnsi="Garamond"/>
        </w:rPr>
        <w:t xml:space="preserve">body of </w:t>
      </w:r>
      <w:r w:rsidRPr="004C3AD4">
        <w:rPr>
          <w:rFonts w:ascii="Garamond" w:hAnsi="Garamond"/>
        </w:rPr>
        <w:t xml:space="preserve">research on how these </w:t>
      </w:r>
      <w:r w:rsidR="001F2727" w:rsidRPr="004C3AD4">
        <w:rPr>
          <w:rFonts w:ascii="Garamond" w:hAnsi="Garamond"/>
        </w:rPr>
        <w:t>different</w:t>
      </w:r>
      <w:r w:rsidRPr="004C3AD4">
        <w:rPr>
          <w:rFonts w:ascii="Garamond" w:hAnsi="Garamond"/>
        </w:rPr>
        <w:t xml:space="preserve"> </w:t>
      </w:r>
      <w:r w:rsidR="001F2727" w:rsidRPr="004C3AD4">
        <w:rPr>
          <w:rFonts w:ascii="Garamond" w:hAnsi="Garamond"/>
        </w:rPr>
        <w:t>strategies</w:t>
      </w:r>
      <w:r w:rsidRPr="004C3AD4">
        <w:rPr>
          <w:rFonts w:ascii="Garamond" w:hAnsi="Garamond"/>
        </w:rPr>
        <w:t xml:space="preserve"> combine to affect the building occupants. For instance, a cluster of modest, positive impacts could have a significant overall effect on health. Or some single practices could have large effects that could swing investment decisions. And some health focused practices </w:t>
      </w:r>
      <w:r w:rsidR="001F2727" w:rsidRPr="004C3AD4">
        <w:rPr>
          <w:rFonts w:ascii="Garamond" w:hAnsi="Garamond"/>
        </w:rPr>
        <w:t>wi</w:t>
      </w:r>
      <w:r w:rsidR="005A69D1">
        <w:rPr>
          <w:rFonts w:ascii="Garamond" w:hAnsi="Garamond"/>
        </w:rPr>
        <w:t>l</w:t>
      </w:r>
      <w:r w:rsidR="001F2727" w:rsidRPr="004C3AD4">
        <w:rPr>
          <w:rFonts w:ascii="Garamond" w:hAnsi="Garamond"/>
        </w:rPr>
        <w:t>l likely</w:t>
      </w:r>
      <w:r w:rsidRPr="004C3AD4">
        <w:rPr>
          <w:rFonts w:ascii="Garamond" w:hAnsi="Garamond"/>
        </w:rPr>
        <w:t xml:space="preserve"> benefit </w:t>
      </w:r>
      <w:r w:rsidR="001F2727" w:rsidRPr="004C3AD4">
        <w:rPr>
          <w:rFonts w:ascii="Garamond" w:hAnsi="Garamond"/>
        </w:rPr>
        <w:t>some</w:t>
      </w:r>
      <w:r w:rsidRPr="004C3AD4">
        <w:rPr>
          <w:rFonts w:ascii="Garamond" w:hAnsi="Garamond"/>
        </w:rPr>
        <w:t xml:space="preserve"> occupants more than others.</w:t>
      </w:r>
    </w:p>
    <w:p w14:paraId="76BDDAC3" w14:textId="77777777" w:rsidR="008B273E" w:rsidRPr="004C3AD4" w:rsidRDefault="008B273E" w:rsidP="008B273E">
      <w:pPr>
        <w:rPr>
          <w:rFonts w:ascii="Garamond" w:hAnsi="Garamond"/>
        </w:rPr>
      </w:pPr>
    </w:p>
    <w:p w14:paraId="4249E997" w14:textId="56AA7366" w:rsidR="008B273E" w:rsidRPr="004C3AD4" w:rsidRDefault="008B273E" w:rsidP="008B273E">
      <w:pPr>
        <w:rPr>
          <w:rFonts w:ascii="Garamond" w:hAnsi="Garamond"/>
        </w:rPr>
      </w:pPr>
      <w:r w:rsidRPr="004C3AD4">
        <w:rPr>
          <w:rFonts w:ascii="Garamond" w:hAnsi="Garamond"/>
        </w:rPr>
        <w:t>To be useful to decision makers, the overall business case need</w:t>
      </w:r>
      <w:r w:rsidR="001F2727" w:rsidRPr="004C3AD4">
        <w:rPr>
          <w:rFonts w:ascii="Garamond" w:hAnsi="Garamond"/>
        </w:rPr>
        <w:t>s</w:t>
      </w:r>
      <w:r w:rsidRPr="004C3AD4">
        <w:rPr>
          <w:rFonts w:ascii="Garamond" w:hAnsi="Garamond"/>
        </w:rPr>
        <w:t xml:space="preserve"> to prioritize investments and identify which of the many potential changes would have the greatest positive impacts on health and for whom.  For renovations aimed at improving health, it’s also important to know which types of spaces are most likely to yield </w:t>
      </w:r>
      <w:r w:rsidR="005A69D1">
        <w:rPr>
          <w:rFonts w:ascii="Garamond" w:hAnsi="Garamond"/>
        </w:rPr>
        <w:t>the</w:t>
      </w:r>
      <w:r w:rsidRPr="004C3AD4">
        <w:rPr>
          <w:rFonts w:ascii="Garamond" w:hAnsi="Garamond"/>
        </w:rPr>
        <w:t xml:space="preserve"> high</w:t>
      </w:r>
      <w:r w:rsidR="005A69D1">
        <w:rPr>
          <w:rFonts w:ascii="Garamond" w:hAnsi="Garamond"/>
        </w:rPr>
        <w:t>est</w:t>
      </w:r>
      <w:r w:rsidRPr="004C3AD4">
        <w:rPr>
          <w:rFonts w:ascii="Garamond" w:hAnsi="Garamond"/>
        </w:rPr>
        <w:t xml:space="preserve"> payoff. </w:t>
      </w:r>
    </w:p>
    <w:p w14:paraId="6C7E51F0" w14:textId="77777777" w:rsidR="008B273E" w:rsidRPr="004C3AD4" w:rsidRDefault="008B273E" w:rsidP="008B273E">
      <w:pPr>
        <w:rPr>
          <w:rFonts w:ascii="Garamond" w:hAnsi="Garamond"/>
        </w:rPr>
      </w:pPr>
    </w:p>
    <w:p w14:paraId="4B1D9DF0" w14:textId="4C3F347F" w:rsidR="00026872" w:rsidRDefault="003C4EEA" w:rsidP="00026872">
      <w:pPr>
        <w:rPr>
          <w:rFonts w:ascii="Garamond" w:hAnsi="Garamond"/>
          <w:color w:val="000000" w:themeColor="text1"/>
        </w:rPr>
      </w:pPr>
      <w:r>
        <w:rPr>
          <w:rFonts w:ascii="Garamond" w:hAnsi="Garamond"/>
          <w:color w:val="000000" w:themeColor="text1"/>
        </w:rPr>
        <w:t>In addition to the challenge of measuring combined effects, t</w:t>
      </w:r>
      <w:r w:rsidR="00026872">
        <w:rPr>
          <w:rFonts w:ascii="Garamond" w:hAnsi="Garamond"/>
          <w:color w:val="000000" w:themeColor="text1"/>
        </w:rPr>
        <w:t xml:space="preserve">he following </w:t>
      </w:r>
      <w:r w:rsidR="00432699">
        <w:rPr>
          <w:rFonts w:ascii="Garamond" w:hAnsi="Garamond"/>
          <w:color w:val="000000" w:themeColor="text1"/>
        </w:rPr>
        <w:t xml:space="preserve">two </w:t>
      </w:r>
      <w:r w:rsidR="00026872">
        <w:rPr>
          <w:rFonts w:ascii="Garamond" w:hAnsi="Garamond"/>
          <w:color w:val="000000" w:themeColor="text1"/>
        </w:rPr>
        <w:t>graphic</w:t>
      </w:r>
      <w:r w:rsidR="00432699">
        <w:rPr>
          <w:rFonts w:ascii="Garamond" w:hAnsi="Garamond"/>
          <w:color w:val="000000" w:themeColor="text1"/>
        </w:rPr>
        <w:t>s</w:t>
      </w:r>
      <w:r w:rsidR="00026872">
        <w:rPr>
          <w:rFonts w:ascii="Garamond" w:hAnsi="Garamond"/>
          <w:color w:val="000000" w:themeColor="text1"/>
        </w:rPr>
        <w:t xml:space="preserve"> </w:t>
      </w:r>
      <w:r w:rsidR="00432699">
        <w:rPr>
          <w:rFonts w:ascii="Garamond" w:hAnsi="Garamond"/>
          <w:color w:val="000000" w:themeColor="text1"/>
        </w:rPr>
        <w:t>outline why</w:t>
      </w:r>
      <w:r>
        <w:rPr>
          <w:rFonts w:ascii="Garamond" w:hAnsi="Garamond"/>
          <w:color w:val="000000" w:themeColor="text1"/>
        </w:rPr>
        <w:t xml:space="preserve"> </w:t>
      </w:r>
      <w:r w:rsidR="00026872">
        <w:rPr>
          <w:rFonts w:ascii="Garamond" w:hAnsi="Garamond"/>
          <w:color w:val="000000" w:themeColor="text1"/>
        </w:rPr>
        <w:t>the business case for investing in workplace</w:t>
      </w:r>
      <w:r w:rsidR="001F2727">
        <w:rPr>
          <w:rFonts w:ascii="Garamond" w:hAnsi="Garamond"/>
          <w:color w:val="000000" w:themeColor="text1"/>
        </w:rPr>
        <w:t>s</w:t>
      </w:r>
      <w:r w:rsidR="00026872">
        <w:rPr>
          <w:rFonts w:ascii="Garamond" w:hAnsi="Garamond"/>
          <w:color w:val="000000" w:themeColor="text1"/>
        </w:rPr>
        <w:t xml:space="preserve"> that promote health and wellness</w:t>
      </w:r>
      <w:r w:rsidR="00EA7E1C">
        <w:rPr>
          <w:rFonts w:ascii="Garamond" w:hAnsi="Garamond"/>
          <w:color w:val="000000" w:themeColor="text1"/>
        </w:rPr>
        <w:t>,</w:t>
      </w:r>
      <w:r w:rsidR="001F2727">
        <w:rPr>
          <w:rFonts w:ascii="Garamond" w:hAnsi="Garamond"/>
          <w:color w:val="000000" w:themeColor="text1"/>
        </w:rPr>
        <w:t xml:space="preserve"> </w:t>
      </w:r>
      <w:r w:rsidR="00026872">
        <w:rPr>
          <w:rFonts w:ascii="Garamond" w:hAnsi="Garamond"/>
          <w:color w:val="000000" w:themeColor="text1"/>
        </w:rPr>
        <w:t xml:space="preserve">while </w:t>
      </w:r>
      <w:r w:rsidR="00026872" w:rsidRPr="00DA69D7">
        <w:rPr>
          <w:rFonts w:ascii="Garamond" w:hAnsi="Garamond"/>
          <w:i/>
          <w:color w:val="000000" w:themeColor="text1"/>
        </w:rPr>
        <w:t>qualitatively</w:t>
      </w:r>
      <w:r w:rsidR="00026872">
        <w:rPr>
          <w:rFonts w:ascii="Garamond" w:hAnsi="Garamond"/>
          <w:color w:val="000000" w:themeColor="text1"/>
        </w:rPr>
        <w:t xml:space="preserve"> compelling, is complicated to demonstrate </w:t>
      </w:r>
      <w:r w:rsidR="00026872" w:rsidRPr="00DA69D7">
        <w:rPr>
          <w:rFonts w:ascii="Garamond" w:hAnsi="Garamond"/>
          <w:i/>
          <w:color w:val="000000" w:themeColor="text1"/>
        </w:rPr>
        <w:t>quantitatively</w:t>
      </w:r>
      <w:r w:rsidR="00026872">
        <w:rPr>
          <w:rFonts w:ascii="Garamond" w:hAnsi="Garamond"/>
          <w:color w:val="000000" w:themeColor="text1"/>
        </w:rPr>
        <w:t xml:space="preserve">.  This </w:t>
      </w:r>
      <w:r w:rsidR="006A0A78">
        <w:rPr>
          <w:rFonts w:ascii="Garamond" w:hAnsi="Garamond"/>
          <w:color w:val="000000" w:themeColor="text1"/>
        </w:rPr>
        <w:t>complexity exists</w:t>
      </w:r>
      <w:r w:rsidR="00026872">
        <w:rPr>
          <w:rFonts w:ascii="Garamond" w:hAnsi="Garamond"/>
          <w:color w:val="000000" w:themeColor="text1"/>
        </w:rPr>
        <w:t xml:space="preserve"> </w:t>
      </w:r>
      <w:r w:rsidR="004D13F4">
        <w:rPr>
          <w:rFonts w:ascii="Garamond" w:hAnsi="Garamond"/>
          <w:color w:val="000000" w:themeColor="text1"/>
        </w:rPr>
        <w:t>for</w:t>
      </w:r>
      <w:r w:rsidR="00026872">
        <w:rPr>
          <w:rFonts w:ascii="Garamond" w:hAnsi="Garamond"/>
          <w:color w:val="000000" w:themeColor="text1"/>
        </w:rPr>
        <w:t xml:space="preserve"> two overarching reasons:</w:t>
      </w:r>
    </w:p>
    <w:p w14:paraId="4A40DF1F" w14:textId="77777777" w:rsidR="00026872" w:rsidRDefault="00026872" w:rsidP="00026872">
      <w:pPr>
        <w:rPr>
          <w:rFonts w:ascii="Garamond" w:hAnsi="Garamond"/>
          <w:color w:val="000000" w:themeColor="text1"/>
        </w:rPr>
      </w:pPr>
    </w:p>
    <w:p w14:paraId="35BC876C" w14:textId="015DA7BB" w:rsidR="00026872" w:rsidRDefault="00026872" w:rsidP="00026872">
      <w:pPr>
        <w:pStyle w:val="ListParagraph"/>
        <w:numPr>
          <w:ilvl w:val="0"/>
          <w:numId w:val="14"/>
        </w:numPr>
        <w:rPr>
          <w:rFonts w:ascii="Garamond" w:hAnsi="Garamond"/>
          <w:color w:val="000000" w:themeColor="text1"/>
        </w:rPr>
      </w:pPr>
      <w:r>
        <w:rPr>
          <w:rFonts w:ascii="Garamond" w:hAnsi="Garamond"/>
          <w:color w:val="000000" w:themeColor="text1"/>
        </w:rPr>
        <w:t xml:space="preserve">The challenge of tying building conditions </w:t>
      </w:r>
      <w:r w:rsidR="00AC65CC">
        <w:rPr>
          <w:rFonts w:ascii="Garamond" w:hAnsi="Garamond"/>
          <w:color w:val="000000" w:themeColor="text1"/>
        </w:rPr>
        <w:t>or features</w:t>
      </w:r>
      <w:r>
        <w:rPr>
          <w:rFonts w:ascii="Garamond" w:hAnsi="Garamond"/>
          <w:color w:val="000000" w:themeColor="text1"/>
        </w:rPr>
        <w:t xml:space="preserve"> to individual health outcomes;</w:t>
      </w:r>
    </w:p>
    <w:p w14:paraId="1CA407F0" w14:textId="77777777" w:rsidR="00026872" w:rsidRDefault="00026872" w:rsidP="00026872">
      <w:pPr>
        <w:pStyle w:val="ListParagraph"/>
        <w:numPr>
          <w:ilvl w:val="0"/>
          <w:numId w:val="14"/>
        </w:numPr>
        <w:rPr>
          <w:rFonts w:ascii="Garamond" w:hAnsi="Garamond"/>
          <w:color w:val="000000" w:themeColor="text1"/>
        </w:rPr>
      </w:pPr>
      <w:r>
        <w:rPr>
          <w:rFonts w:ascii="Garamond" w:hAnsi="Garamond"/>
          <w:color w:val="000000" w:themeColor="text1"/>
        </w:rPr>
        <w:t>The data and methodology gaps that make it difficult to calculate health cost savings and productivity gains.</w:t>
      </w:r>
    </w:p>
    <w:p w14:paraId="5BD14386" w14:textId="7BAB3F25" w:rsidR="00026872" w:rsidRDefault="00785FD9" w:rsidP="00026872">
      <w:pPr>
        <w:rPr>
          <w:rFonts w:ascii="Garamond" w:hAnsi="Garamond"/>
          <w:color w:val="000000" w:themeColor="text1"/>
        </w:rPr>
      </w:pPr>
      <w:r>
        <w:rPr>
          <w:rFonts w:ascii="Garamond" w:hAnsi="Garamond"/>
          <w:noProof/>
          <w:color w:val="000000" w:themeColor="text1"/>
        </w:rPr>
        <w:lastRenderedPageBreak/>
        <w:drawing>
          <wp:inline distT="0" distB="0" distL="0" distR="0" wp14:anchorId="2B63502B" wp14:editId="71686594">
            <wp:extent cx="5516137" cy="3977222"/>
            <wp:effectExtent l="0" t="0" r="0" b="0"/>
            <wp:docPr id="10" name="Picture 10" descr="Box diagram called “Making the Link Between the Built Environment and Occupant Health). It starts with a box called “Built Environment”. This leads to two other boxes called “Passive Health Features – Designed to protect/enhance health regardless of behavior” and “Behavior-dependent features – Designed to improve health by influencing behavior”. Both of these boxes then lead to a box called “Public Health Conditions”. The line from passive health features says “Some IEQ conditions associated with public health impacts (e.g., mold leading to respiratory irritation)”. The line from behavior-dependent features says “Certain behaviors associated with public health impacts (e.g., exercise leading to heart health”. The Public health conditions box then points to a box called “Individual health impacts”. Below this, it says “Challenge:  individual health impacts depend on many factors – including the complex interactions of the indoor environment, individual susceptibility and many non-IEQ factors – making it difficult to directly associate design building features with individual health outcomes”." title="Making the LInk Between the Built Environment &amp; Occupant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17734" cy="3978374"/>
                    </a:xfrm>
                    <a:prstGeom prst="rect">
                      <a:avLst/>
                    </a:prstGeom>
                    <a:noFill/>
                  </pic:spPr>
                </pic:pic>
              </a:graphicData>
            </a:graphic>
          </wp:inline>
        </w:drawing>
      </w:r>
    </w:p>
    <w:p w14:paraId="06185482" w14:textId="77777777" w:rsidR="00026872" w:rsidRDefault="00026872" w:rsidP="00026872">
      <w:pPr>
        <w:rPr>
          <w:rFonts w:ascii="Garamond" w:hAnsi="Garamond"/>
          <w:color w:val="000000" w:themeColor="text1"/>
        </w:rPr>
      </w:pPr>
    </w:p>
    <w:p w14:paraId="6E6EB71F" w14:textId="2D9FD23F" w:rsidR="00026872" w:rsidRDefault="00026872" w:rsidP="00026872">
      <w:pPr>
        <w:rPr>
          <w:rFonts w:ascii="Garamond" w:hAnsi="Garamond"/>
          <w:color w:val="000000" w:themeColor="text1"/>
        </w:rPr>
      </w:pPr>
      <w:r>
        <w:rPr>
          <w:rFonts w:ascii="Garamond" w:hAnsi="Garamond"/>
          <w:color w:val="000000" w:themeColor="text1"/>
        </w:rPr>
        <w:t xml:space="preserve">The two basic types of health </w:t>
      </w:r>
      <w:r w:rsidR="001F2727">
        <w:rPr>
          <w:rFonts w:ascii="Garamond" w:hAnsi="Garamond"/>
          <w:color w:val="000000" w:themeColor="text1"/>
        </w:rPr>
        <w:t xml:space="preserve">and </w:t>
      </w:r>
      <w:r>
        <w:rPr>
          <w:rFonts w:ascii="Garamond" w:hAnsi="Garamond"/>
          <w:color w:val="000000" w:themeColor="text1"/>
        </w:rPr>
        <w:t xml:space="preserve">wellness-oriented building interventions are those intended to improve </w:t>
      </w:r>
      <w:r w:rsidR="00D2423B">
        <w:rPr>
          <w:rFonts w:ascii="Garamond" w:hAnsi="Garamond"/>
          <w:color w:val="000000" w:themeColor="text1"/>
        </w:rPr>
        <w:t>indoor environmental quality (</w:t>
      </w:r>
      <w:r>
        <w:rPr>
          <w:rFonts w:ascii="Garamond" w:hAnsi="Garamond"/>
          <w:color w:val="000000" w:themeColor="text1"/>
        </w:rPr>
        <w:t>IEQ</w:t>
      </w:r>
      <w:r w:rsidR="00D2423B">
        <w:rPr>
          <w:rFonts w:ascii="Garamond" w:hAnsi="Garamond"/>
          <w:color w:val="000000" w:themeColor="text1"/>
        </w:rPr>
        <w:t>)</w:t>
      </w:r>
      <w:r>
        <w:rPr>
          <w:rFonts w:ascii="Garamond" w:hAnsi="Garamond"/>
          <w:color w:val="000000" w:themeColor="text1"/>
        </w:rPr>
        <w:t xml:space="preserve"> passively – i.e., regardless of occupant behavior – and those designed to </w:t>
      </w:r>
      <w:r w:rsidR="006A0A78">
        <w:rPr>
          <w:rFonts w:ascii="Garamond" w:hAnsi="Garamond"/>
          <w:color w:val="000000" w:themeColor="text1"/>
        </w:rPr>
        <w:t>encour</w:t>
      </w:r>
      <w:r w:rsidR="001A7369">
        <w:rPr>
          <w:rFonts w:ascii="Garamond" w:hAnsi="Garamond"/>
          <w:color w:val="000000" w:themeColor="text1"/>
        </w:rPr>
        <w:t>a</w:t>
      </w:r>
      <w:r w:rsidR="006A0A78">
        <w:rPr>
          <w:rFonts w:ascii="Garamond" w:hAnsi="Garamond"/>
          <w:color w:val="000000" w:themeColor="text1"/>
        </w:rPr>
        <w:t>ge</w:t>
      </w:r>
      <w:r>
        <w:rPr>
          <w:rFonts w:ascii="Garamond" w:hAnsi="Garamond"/>
          <w:color w:val="000000" w:themeColor="text1"/>
        </w:rPr>
        <w:t xml:space="preserve"> occupants to adopt healthier behaviors.  </w:t>
      </w:r>
      <w:r w:rsidRPr="00771AFE">
        <w:rPr>
          <w:rFonts w:ascii="Garamond" w:hAnsi="Garamond"/>
          <w:i/>
          <w:color w:val="000000" w:themeColor="text1"/>
        </w:rPr>
        <w:t>Passive measures</w:t>
      </w:r>
      <w:r>
        <w:rPr>
          <w:rFonts w:ascii="Garamond" w:hAnsi="Garamond"/>
          <w:color w:val="000000" w:themeColor="text1"/>
        </w:rPr>
        <w:t xml:space="preserve"> have been developed to ameliorate IEQ conditions known to impact health</w:t>
      </w:r>
      <w:r w:rsidR="00D2423B">
        <w:rPr>
          <w:rStyle w:val="FootnoteReference"/>
          <w:rFonts w:ascii="Garamond" w:hAnsi="Garamond"/>
          <w:color w:val="000000" w:themeColor="text1"/>
        </w:rPr>
        <w:footnoteReference w:id="8"/>
      </w:r>
      <w:r>
        <w:rPr>
          <w:rFonts w:ascii="Garamond" w:hAnsi="Garamond"/>
          <w:color w:val="000000" w:themeColor="text1"/>
        </w:rPr>
        <w:t xml:space="preserve"> – e.g., using products which emit low levels</w:t>
      </w:r>
      <w:r w:rsidR="00746122">
        <w:rPr>
          <w:rFonts w:ascii="Garamond" w:hAnsi="Garamond"/>
          <w:color w:val="000000" w:themeColor="text1"/>
        </w:rPr>
        <w:t xml:space="preserve"> of VOCs, managing moisture to </w:t>
      </w:r>
      <w:r w:rsidR="006A0A78">
        <w:rPr>
          <w:rFonts w:ascii="Garamond" w:hAnsi="Garamond"/>
          <w:color w:val="000000" w:themeColor="text1"/>
        </w:rPr>
        <w:t>reduce the likelihood of</w:t>
      </w:r>
      <w:r>
        <w:rPr>
          <w:rFonts w:ascii="Garamond" w:hAnsi="Garamond"/>
          <w:color w:val="000000" w:themeColor="text1"/>
        </w:rPr>
        <w:t xml:space="preserve"> mold</w:t>
      </w:r>
      <w:r w:rsidR="006A0A78">
        <w:rPr>
          <w:rFonts w:ascii="Garamond" w:hAnsi="Garamond"/>
          <w:color w:val="000000" w:themeColor="text1"/>
        </w:rPr>
        <w:t xml:space="preserve"> growth</w:t>
      </w:r>
      <w:r>
        <w:rPr>
          <w:rFonts w:ascii="Garamond" w:hAnsi="Garamond"/>
          <w:color w:val="000000" w:themeColor="text1"/>
        </w:rPr>
        <w:t xml:space="preserve">, improving the quality of ventilation, etc. </w:t>
      </w:r>
      <w:r w:rsidRPr="00771AFE">
        <w:rPr>
          <w:rFonts w:ascii="Garamond" w:hAnsi="Garamond"/>
          <w:i/>
          <w:color w:val="000000" w:themeColor="text1"/>
        </w:rPr>
        <w:t>Behavioral measures</w:t>
      </w:r>
      <w:r>
        <w:rPr>
          <w:rFonts w:ascii="Garamond" w:hAnsi="Garamond"/>
          <w:color w:val="000000" w:themeColor="text1"/>
        </w:rPr>
        <w:t xml:space="preserve">, on the other hand, aim to encourage occupant behaviors linked to better public health outcomes: e.g., reducing sedentary behaviors by increasing access to stairways, </w:t>
      </w:r>
      <w:r w:rsidR="006A0A78">
        <w:rPr>
          <w:rFonts w:ascii="Garamond" w:hAnsi="Garamond"/>
          <w:color w:val="000000" w:themeColor="text1"/>
        </w:rPr>
        <w:t xml:space="preserve">using </w:t>
      </w:r>
      <w:r>
        <w:rPr>
          <w:rFonts w:ascii="Garamond" w:hAnsi="Garamond"/>
          <w:color w:val="000000" w:themeColor="text1"/>
        </w:rPr>
        <w:t xml:space="preserve">more active transportation options, and </w:t>
      </w:r>
      <w:r w:rsidR="006A0A78">
        <w:rPr>
          <w:rFonts w:ascii="Garamond" w:hAnsi="Garamond"/>
          <w:color w:val="000000" w:themeColor="text1"/>
        </w:rPr>
        <w:t xml:space="preserve">working at </w:t>
      </w:r>
      <w:r w:rsidR="00746122">
        <w:rPr>
          <w:rFonts w:ascii="Garamond" w:hAnsi="Garamond"/>
          <w:color w:val="000000" w:themeColor="text1"/>
        </w:rPr>
        <w:t>sit-to-</w:t>
      </w:r>
      <w:r>
        <w:rPr>
          <w:rFonts w:ascii="Garamond" w:hAnsi="Garamond"/>
          <w:color w:val="000000" w:themeColor="text1"/>
        </w:rPr>
        <w:t>stand desks.</w:t>
      </w:r>
    </w:p>
    <w:p w14:paraId="28740D6F" w14:textId="77777777" w:rsidR="00026872" w:rsidRDefault="00026872" w:rsidP="00026872">
      <w:pPr>
        <w:rPr>
          <w:rFonts w:ascii="Garamond" w:hAnsi="Garamond"/>
          <w:color w:val="000000" w:themeColor="text1"/>
        </w:rPr>
      </w:pPr>
    </w:p>
    <w:p w14:paraId="073427D4" w14:textId="3FA069A2" w:rsidR="00026872" w:rsidRDefault="00026872" w:rsidP="00026872">
      <w:pPr>
        <w:rPr>
          <w:rFonts w:ascii="Garamond" w:hAnsi="Garamond"/>
          <w:color w:val="000000" w:themeColor="text1"/>
        </w:rPr>
      </w:pPr>
      <w:r>
        <w:rPr>
          <w:rFonts w:ascii="Garamond" w:hAnsi="Garamond"/>
          <w:color w:val="000000" w:themeColor="text1"/>
        </w:rPr>
        <w:t xml:space="preserve">While </w:t>
      </w:r>
      <w:r w:rsidR="00582423">
        <w:rPr>
          <w:rFonts w:ascii="Garamond" w:hAnsi="Garamond"/>
          <w:color w:val="000000" w:themeColor="text1"/>
        </w:rPr>
        <w:t xml:space="preserve">evidence exists to support </w:t>
      </w:r>
      <w:r w:rsidR="00582423" w:rsidRPr="005A69D1">
        <w:rPr>
          <w:rFonts w:ascii="Garamond" w:hAnsi="Garamond"/>
          <w:i/>
          <w:color w:val="000000" w:themeColor="text1"/>
        </w:rPr>
        <w:t>passive measures</w:t>
      </w:r>
      <w:r w:rsidR="00582423">
        <w:rPr>
          <w:rFonts w:ascii="Garamond" w:hAnsi="Garamond"/>
          <w:color w:val="000000" w:themeColor="text1"/>
        </w:rPr>
        <w:t xml:space="preserve">, </w:t>
      </w:r>
      <w:r>
        <w:rPr>
          <w:rFonts w:ascii="Garamond" w:hAnsi="Garamond"/>
          <w:color w:val="000000" w:themeColor="text1"/>
        </w:rPr>
        <w:t>both strategies</w:t>
      </w:r>
      <w:r w:rsidR="00582423">
        <w:rPr>
          <w:rFonts w:ascii="Garamond" w:hAnsi="Garamond"/>
          <w:color w:val="000000" w:themeColor="text1"/>
        </w:rPr>
        <w:t>, especially behavioral ones</w:t>
      </w:r>
      <w:r w:rsidR="009B6683">
        <w:rPr>
          <w:rFonts w:ascii="Garamond" w:hAnsi="Garamond"/>
          <w:color w:val="000000" w:themeColor="text1"/>
        </w:rPr>
        <w:t>,</w:t>
      </w:r>
      <w:r>
        <w:rPr>
          <w:rFonts w:ascii="Garamond" w:hAnsi="Garamond"/>
          <w:color w:val="000000" w:themeColor="text1"/>
        </w:rPr>
        <w:t xml:space="preserve"> </w:t>
      </w:r>
      <w:r w:rsidR="00582423">
        <w:rPr>
          <w:rFonts w:ascii="Garamond" w:hAnsi="Garamond"/>
          <w:color w:val="000000" w:themeColor="text1"/>
        </w:rPr>
        <w:t>require more research</w:t>
      </w:r>
      <w:r>
        <w:rPr>
          <w:rFonts w:ascii="Garamond" w:hAnsi="Garamond"/>
          <w:color w:val="000000" w:themeColor="text1"/>
        </w:rPr>
        <w:t xml:space="preserve"> to prove that a particular intervention can be credited with achieving a </w:t>
      </w:r>
      <w:r w:rsidR="00B20AA0">
        <w:rPr>
          <w:rFonts w:ascii="Garamond" w:hAnsi="Garamond"/>
          <w:color w:val="000000" w:themeColor="text1"/>
        </w:rPr>
        <w:t>specific</w:t>
      </w:r>
      <w:r>
        <w:rPr>
          <w:rFonts w:ascii="Garamond" w:hAnsi="Garamond"/>
          <w:color w:val="000000" w:themeColor="text1"/>
        </w:rPr>
        <w:t xml:space="preserve"> outcome.  Individual health outcomes are the product of many factors, including genetics, environment, age, stress level, and a broad range of behaviors performed both inside and outside the </w:t>
      </w:r>
      <w:r w:rsidR="006A0A78">
        <w:rPr>
          <w:rFonts w:ascii="Garamond" w:hAnsi="Garamond"/>
          <w:color w:val="000000" w:themeColor="text1"/>
        </w:rPr>
        <w:t>workplace</w:t>
      </w:r>
      <w:r>
        <w:rPr>
          <w:rFonts w:ascii="Garamond" w:hAnsi="Garamond"/>
          <w:color w:val="000000" w:themeColor="text1"/>
        </w:rPr>
        <w:t xml:space="preserve">.  The impact of any particular intervention, therefore, is </w:t>
      </w:r>
      <w:r w:rsidR="006A0A78">
        <w:rPr>
          <w:rFonts w:ascii="Garamond" w:hAnsi="Garamond"/>
          <w:color w:val="000000" w:themeColor="text1"/>
        </w:rPr>
        <w:t xml:space="preserve">very </w:t>
      </w:r>
      <w:r>
        <w:rPr>
          <w:rFonts w:ascii="Garamond" w:hAnsi="Garamond"/>
          <w:color w:val="000000" w:themeColor="text1"/>
        </w:rPr>
        <w:t>hard to isolate.</w:t>
      </w:r>
    </w:p>
    <w:p w14:paraId="76E8B4F2" w14:textId="77777777" w:rsidR="00026872" w:rsidRDefault="00026872" w:rsidP="00026872">
      <w:pPr>
        <w:rPr>
          <w:rFonts w:ascii="Garamond" w:hAnsi="Garamond"/>
          <w:color w:val="000000" w:themeColor="text1"/>
        </w:rPr>
      </w:pPr>
    </w:p>
    <w:p w14:paraId="5872AC50" w14:textId="58B90D5D" w:rsidR="00026872" w:rsidRDefault="00026872" w:rsidP="00026872">
      <w:pPr>
        <w:rPr>
          <w:rFonts w:ascii="Garamond" w:hAnsi="Garamond"/>
          <w:noProof/>
          <w:color w:val="000000" w:themeColor="text1"/>
        </w:rPr>
      </w:pPr>
      <w:r>
        <w:rPr>
          <w:rFonts w:ascii="Garamond" w:hAnsi="Garamond"/>
          <w:color w:val="000000" w:themeColor="text1"/>
        </w:rPr>
        <w:t xml:space="preserve">The behavioral strategies add another layer of complexity by raising the question of whether particular </w:t>
      </w:r>
      <w:r w:rsidR="00582423">
        <w:rPr>
          <w:rFonts w:ascii="Garamond" w:hAnsi="Garamond"/>
          <w:color w:val="000000" w:themeColor="text1"/>
        </w:rPr>
        <w:t xml:space="preserve">designed </w:t>
      </w:r>
      <w:r>
        <w:rPr>
          <w:rFonts w:ascii="Garamond" w:hAnsi="Garamond"/>
          <w:color w:val="000000" w:themeColor="text1"/>
        </w:rPr>
        <w:t xml:space="preserve">building features actually induce </w:t>
      </w:r>
      <w:r w:rsidR="00582423">
        <w:rPr>
          <w:rFonts w:ascii="Garamond" w:hAnsi="Garamond"/>
          <w:color w:val="000000" w:themeColor="text1"/>
        </w:rPr>
        <w:t>a</w:t>
      </w:r>
      <w:r w:rsidR="001C0A2C">
        <w:rPr>
          <w:rFonts w:ascii="Garamond" w:hAnsi="Garamond"/>
          <w:color w:val="000000" w:themeColor="text1"/>
        </w:rPr>
        <w:t xml:space="preserve"> desired behavior</w:t>
      </w:r>
      <w:r w:rsidR="009B6683">
        <w:rPr>
          <w:rFonts w:ascii="Garamond" w:hAnsi="Garamond"/>
          <w:color w:val="000000" w:themeColor="text1"/>
        </w:rPr>
        <w:t xml:space="preserve">, and thereby justify the investment in </w:t>
      </w:r>
      <w:r w:rsidR="00B454A4">
        <w:rPr>
          <w:rFonts w:ascii="Garamond" w:hAnsi="Garamond"/>
          <w:color w:val="000000" w:themeColor="text1"/>
        </w:rPr>
        <w:t>these strategies</w:t>
      </w:r>
      <w:r>
        <w:rPr>
          <w:rFonts w:ascii="Garamond" w:hAnsi="Garamond"/>
          <w:color w:val="000000" w:themeColor="text1"/>
        </w:rPr>
        <w:t>.</w:t>
      </w:r>
      <w:r>
        <w:rPr>
          <w:rFonts w:ascii="Garamond" w:hAnsi="Garamond"/>
          <w:noProof/>
          <w:color w:val="000000" w:themeColor="text1"/>
        </w:rPr>
        <w:t xml:space="preserve"> </w:t>
      </w:r>
    </w:p>
    <w:p w14:paraId="42495167" w14:textId="53699BCC" w:rsidR="00026872" w:rsidRDefault="001C0A2C" w:rsidP="00026872">
      <w:pPr>
        <w:rPr>
          <w:rFonts w:ascii="Garamond" w:hAnsi="Garamond"/>
          <w:color w:val="000000" w:themeColor="text1"/>
        </w:rPr>
      </w:pPr>
      <w:r>
        <w:rPr>
          <w:rFonts w:ascii="Garamond" w:hAnsi="Garamond"/>
          <w:noProof/>
          <w:color w:val="000000" w:themeColor="text1"/>
        </w:rPr>
        <w:lastRenderedPageBreak/>
        <w:drawing>
          <wp:inline distT="0" distB="0" distL="0" distR="0" wp14:anchorId="11971FCB" wp14:editId="255C4D6B">
            <wp:extent cx="5433048" cy="3726549"/>
            <wp:effectExtent l="0" t="0" r="0" b="0"/>
            <wp:docPr id="9" name="Picture 9" descr="A box diagram called “Making the Link Between Built Environment Investments &amp; ROI.” The left side is titled “Cost of best practices: measurable”. There is a box called “Cost Savings” in the middle, which points to “Absenteeism: HR data usually private” on the left, “Presenteeism: hard to calculate” on the left below the previous one, and “Healthcare costs: distributed across population” in the center. On the right side, there is a box called “Other benefits” that leads to a box below it called “Productivity: challenging to measure with knowledge workers in government environment”. The Presenteeism, Healthcare Costs, and Productivity boxes all lead to a box called “General cost savings and benefits based on assumptions and estimates”." title="Making the Link Between Built Environment Investments &amp; R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33663" cy="3726971"/>
                    </a:xfrm>
                    <a:prstGeom prst="rect">
                      <a:avLst/>
                    </a:prstGeom>
                    <a:noFill/>
                  </pic:spPr>
                </pic:pic>
              </a:graphicData>
            </a:graphic>
          </wp:inline>
        </w:drawing>
      </w:r>
    </w:p>
    <w:p w14:paraId="11C4BC2E" w14:textId="77777777" w:rsidR="00026872" w:rsidRDefault="00026872" w:rsidP="00026872">
      <w:pPr>
        <w:rPr>
          <w:rFonts w:ascii="Garamond" w:hAnsi="Garamond"/>
          <w:color w:val="000000" w:themeColor="text1"/>
        </w:rPr>
      </w:pPr>
    </w:p>
    <w:p w14:paraId="4373E96F" w14:textId="3338FC4C" w:rsidR="00026872" w:rsidRDefault="00026872" w:rsidP="00026872">
      <w:pPr>
        <w:rPr>
          <w:rFonts w:ascii="Garamond" w:hAnsi="Garamond"/>
          <w:color w:val="000000" w:themeColor="text1"/>
        </w:rPr>
      </w:pPr>
      <w:r>
        <w:rPr>
          <w:rFonts w:ascii="Garamond" w:hAnsi="Garamond"/>
          <w:color w:val="000000" w:themeColor="text1"/>
        </w:rPr>
        <w:t xml:space="preserve">Even if causality is demonstrated, the next challenge </w:t>
      </w:r>
      <w:r w:rsidR="006A0A78">
        <w:rPr>
          <w:rFonts w:ascii="Garamond" w:hAnsi="Garamond"/>
          <w:color w:val="000000" w:themeColor="text1"/>
        </w:rPr>
        <w:t>is</w:t>
      </w:r>
      <w:r>
        <w:rPr>
          <w:rFonts w:ascii="Garamond" w:hAnsi="Garamond"/>
          <w:color w:val="000000" w:themeColor="text1"/>
        </w:rPr>
        <w:t xml:space="preserve"> quantifying cost savings and productivity gains from such health and wellness improvements.  Worker health unquestionably represents tremendous value and</w:t>
      </w:r>
      <w:r w:rsidRPr="00DD336F">
        <w:rPr>
          <w:rFonts w:ascii="Garamond" w:hAnsi="Garamond"/>
          <w:color w:val="000000" w:themeColor="text1"/>
        </w:rPr>
        <w:t xml:space="preserve"> </w:t>
      </w:r>
      <w:r>
        <w:rPr>
          <w:rFonts w:ascii="Garamond" w:hAnsi="Garamond"/>
          <w:color w:val="000000" w:themeColor="text1"/>
        </w:rPr>
        <w:t>costs. The Federal government employs about 2.2 million civilian workers (1.5% of the US workforce), for which it spends $215 billion (FY2016) on compensation, including pay and benefits.</w:t>
      </w:r>
      <w:r>
        <w:rPr>
          <w:rStyle w:val="FootnoteReference"/>
        </w:rPr>
        <w:footnoteReference w:id="9"/>
      </w:r>
      <w:r>
        <w:rPr>
          <w:rStyle w:val="FooterChar"/>
        </w:rPr>
        <w:t xml:space="preserve"> </w:t>
      </w:r>
      <w:r>
        <w:rPr>
          <w:rStyle w:val="FooterChar"/>
          <w:rFonts w:ascii="Garamond" w:hAnsi="Garamond"/>
        </w:rPr>
        <w:t>Through the Federal Employees Health Benefits (FEHB) program, the government pays an average of 70% of the cost of health insurance premiums.  The Federal employee absenteeism rate is 3.6%, of which 2.6% is due to illness or injury.</w:t>
      </w:r>
      <w:r>
        <w:rPr>
          <w:rStyle w:val="FootnoteReference"/>
        </w:rPr>
        <w:footnoteReference w:id="10"/>
      </w:r>
      <w:r>
        <w:rPr>
          <w:rStyle w:val="FooterChar"/>
          <w:rFonts w:ascii="Garamond" w:hAnsi="Garamond"/>
        </w:rPr>
        <w:t xml:space="preserve"> </w:t>
      </w:r>
    </w:p>
    <w:p w14:paraId="50CF0E0E" w14:textId="77777777" w:rsidR="00026872" w:rsidRDefault="00026872" w:rsidP="00026872">
      <w:pPr>
        <w:rPr>
          <w:rFonts w:ascii="Garamond" w:hAnsi="Garamond"/>
          <w:color w:val="000000" w:themeColor="text1"/>
        </w:rPr>
      </w:pPr>
    </w:p>
    <w:p w14:paraId="4EDA3739" w14:textId="344B3BD6" w:rsidR="003815CE" w:rsidRDefault="00026872" w:rsidP="00026872">
      <w:pPr>
        <w:rPr>
          <w:rFonts w:ascii="Garamond" w:hAnsi="Garamond"/>
          <w:color w:val="000000" w:themeColor="text1"/>
        </w:rPr>
      </w:pPr>
      <w:r>
        <w:rPr>
          <w:rFonts w:ascii="Garamond" w:hAnsi="Garamond"/>
          <w:color w:val="000000" w:themeColor="text1"/>
        </w:rPr>
        <w:t xml:space="preserve">Measuring the impact of building improvements on these costs, however, is difficult for multiple reasons. Human resources records on absenteeism rates, health costs, etc. are shielded by privacy laws </w:t>
      </w:r>
      <w:r w:rsidR="000C5ECB">
        <w:rPr>
          <w:rFonts w:ascii="Garamond" w:hAnsi="Garamond"/>
          <w:color w:val="000000" w:themeColor="text1"/>
        </w:rPr>
        <w:t xml:space="preserve">– and </w:t>
      </w:r>
      <w:r w:rsidR="00785FD9">
        <w:rPr>
          <w:rFonts w:ascii="Garamond" w:hAnsi="Garamond"/>
          <w:color w:val="000000" w:themeColor="text1"/>
        </w:rPr>
        <w:t>where aggregate</w:t>
      </w:r>
      <w:r w:rsidR="000C5ECB">
        <w:rPr>
          <w:rFonts w:ascii="Garamond" w:hAnsi="Garamond"/>
          <w:color w:val="000000" w:themeColor="text1"/>
        </w:rPr>
        <w:t xml:space="preserve"> information is available, it is not collected for the same purpose and may require significant interpretation</w:t>
      </w:r>
      <w:r>
        <w:rPr>
          <w:rFonts w:ascii="Garamond" w:hAnsi="Garamond"/>
          <w:color w:val="000000" w:themeColor="text1"/>
        </w:rPr>
        <w:t>. Healthcare costs and premiums are distributed across society through insurance and social programs like Medicare and Medicaid</w:t>
      </w:r>
      <w:r w:rsidR="00F4637B">
        <w:rPr>
          <w:rFonts w:ascii="Garamond" w:hAnsi="Garamond"/>
          <w:color w:val="000000" w:themeColor="text1"/>
        </w:rPr>
        <w:t xml:space="preserve"> (CMS)</w:t>
      </w:r>
      <w:r>
        <w:rPr>
          <w:rFonts w:ascii="Garamond" w:hAnsi="Garamond"/>
          <w:color w:val="000000" w:themeColor="text1"/>
        </w:rPr>
        <w:t xml:space="preserve">, making them </w:t>
      </w:r>
      <w:r w:rsidR="00A747F0">
        <w:rPr>
          <w:rFonts w:ascii="Garamond" w:hAnsi="Garamond"/>
          <w:color w:val="000000" w:themeColor="text1"/>
        </w:rPr>
        <w:t>difficult</w:t>
      </w:r>
      <w:r w:rsidR="00F4637B">
        <w:rPr>
          <w:rFonts w:ascii="Garamond" w:hAnsi="Garamond"/>
          <w:color w:val="000000" w:themeColor="text1"/>
        </w:rPr>
        <w:t xml:space="preserve"> </w:t>
      </w:r>
      <w:r>
        <w:rPr>
          <w:rFonts w:ascii="Garamond" w:hAnsi="Garamond"/>
          <w:color w:val="000000" w:themeColor="text1"/>
        </w:rPr>
        <w:t>to attribute to particular building interventions.</w:t>
      </w:r>
    </w:p>
    <w:p w14:paraId="45435CC1" w14:textId="77777777" w:rsidR="00F63449" w:rsidRDefault="00F63449" w:rsidP="00026872">
      <w:pPr>
        <w:rPr>
          <w:rFonts w:ascii="Garamond" w:hAnsi="Garamond"/>
          <w:color w:val="000000" w:themeColor="text1"/>
        </w:rPr>
      </w:pPr>
    </w:p>
    <w:p w14:paraId="6C241EBB" w14:textId="4E8686ED" w:rsidR="00026872" w:rsidRDefault="00026872" w:rsidP="00026872">
      <w:pPr>
        <w:rPr>
          <w:rFonts w:ascii="Garamond" w:hAnsi="Garamond"/>
          <w:color w:val="000000" w:themeColor="text1"/>
        </w:rPr>
      </w:pPr>
      <w:r>
        <w:rPr>
          <w:rFonts w:ascii="Garamond" w:hAnsi="Garamond"/>
          <w:color w:val="000000" w:themeColor="text1"/>
        </w:rPr>
        <w:t>Productivity is challenging to measure in an age of knowledge workers whose output is more complex than that of the classic factory setting. There has been research showing impacts</w:t>
      </w:r>
      <w:r w:rsidRPr="007E5CDA">
        <w:rPr>
          <w:rFonts w:ascii="Garamond" w:hAnsi="Garamond"/>
          <w:color w:val="000000" w:themeColor="text1"/>
        </w:rPr>
        <w:t xml:space="preserve"> of IEQ </w:t>
      </w:r>
      <w:r w:rsidRPr="007E5CDA">
        <w:rPr>
          <w:rFonts w:ascii="Garamond" w:hAnsi="Garamond"/>
          <w:color w:val="000000" w:themeColor="text1"/>
        </w:rPr>
        <w:lastRenderedPageBreak/>
        <w:t>(</w:t>
      </w:r>
      <w:r>
        <w:rPr>
          <w:rFonts w:ascii="Garamond" w:hAnsi="Garamond"/>
          <w:color w:val="000000" w:themeColor="text1"/>
        </w:rPr>
        <w:t>particularly</w:t>
      </w:r>
      <w:r w:rsidRPr="007E5CDA">
        <w:rPr>
          <w:rFonts w:ascii="Garamond" w:hAnsi="Garamond"/>
          <w:color w:val="000000" w:themeColor="text1"/>
        </w:rPr>
        <w:t xml:space="preserve"> temperatures, sound, and air quality) </w:t>
      </w:r>
      <w:r>
        <w:rPr>
          <w:rFonts w:ascii="Garamond" w:hAnsi="Garamond"/>
          <w:color w:val="000000" w:themeColor="text1"/>
        </w:rPr>
        <w:t xml:space="preserve">on </w:t>
      </w:r>
      <w:r w:rsidRPr="007E5CDA">
        <w:rPr>
          <w:rFonts w:ascii="Garamond" w:hAnsi="Garamond"/>
          <w:color w:val="000000" w:themeColor="text1"/>
        </w:rPr>
        <w:t xml:space="preserve">working memory, sustained attention, reasoning, decision making, and other high level cognitive functions.  </w:t>
      </w:r>
      <w:r>
        <w:rPr>
          <w:rFonts w:ascii="Garamond" w:hAnsi="Garamond"/>
          <w:color w:val="000000" w:themeColor="text1"/>
        </w:rPr>
        <w:t>However</w:t>
      </w:r>
      <w:r w:rsidRPr="007E5CDA">
        <w:rPr>
          <w:rFonts w:ascii="Garamond" w:hAnsi="Garamond"/>
          <w:color w:val="000000" w:themeColor="text1"/>
        </w:rPr>
        <w:t xml:space="preserve">, </w:t>
      </w:r>
      <w:r>
        <w:rPr>
          <w:rFonts w:ascii="Garamond" w:hAnsi="Garamond"/>
          <w:color w:val="000000" w:themeColor="text1"/>
        </w:rPr>
        <w:t>most of this research has been in controlled laboratory settings, not actual offices, making it</w:t>
      </w:r>
      <w:r w:rsidRPr="007E5CDA">
        <w:rPr>
          <w:rFonts w:ascii="Garamond" w:hAnsi="Garamond"/>
          <w:color w:val="000000" w:themeColor="text1"/>
        </w:rPr>
        <w:t xml:space="preserve"> hard to generalize</w:t>
      </w:r>
      <w:r>
        <w:rPr>
          <w:rFonts w:ascii="Garamond" w:hAnsi="Garamond"/>
          <w:color w:val="000000" w:themeColor="text1"/>
        </w:rPr>
        <w:t xml:space="preserve"> from such findings</w:t>
      </w:r>
      <w:r w:rsidRPr="007E5CDA">
        <w:rPr>
          <w:rFonts w:ascii="Garamond" w:hAnsi="Garamond"/>
          <w:color w:val="000000" w:themeColor="text1"/>
        </w:rPr>
        <w:t xml:space="preserve"> to office work overall. </w:t>
      </w:r>
      <w:r w:rsidR="000C5ECB">
        <w:rPr>
          <w:rFonts w:ascii="Garamond" w:hAnsi="Garamond"/>
          <w:color w:val="000000" w:themeColor="text1"/>
        </w:rPr>
        <w:t xml:space="preserve"> Complexity is added when workers also telecommute, working from a home setting for part of their work week, in addition to working within an office environment. </w:t>
      </w:r>
    </w:p>
    <w:p w14:paraId="40BBCDB7" w14:textId="77777777" w:rsidR="00026872" w:rsidRDefault="00026872" w:rsidP="00026872">
      <w:pPr>
        <w:rPr>
          <w:rFonts w:ascii="Garamond" w:hAnsi="Garamond"/>
          <w:color w:val="000000" w:themeColor="text1"/>
        </w:rPr>
      </w:pPr>
    </w:p>
    <w:p w14:paraId="7E9E5C5F" w14:textId="603CFCD9" w:rsidR="0031393A" w:rsidRPr="004C3AD4" w:rsidRDefault="00B30993" w:rsidP="00A03DB7">
      <w:pPr>
        <w:pStyle w:val="Heading2"/>
      </w:pPr>
      <w:r>
        <w:t>Moving Forward on</w:t>
      </w:r>
      <w:r w:rsidR="009B6683">
        <w:t xml:space="preserve"> the Business Case</w:t>
      </w:r>
    </w:p>
    <w:p w14:paraId="29647A75" w14:textId="77777777" w:rsidR="002B3EDD" w:rsidRPr="002B3EDD" w:rsidRDefault="0031393A" w:rsidP="002B3EDD">
      <w:pPr>
        <w:rPr>
          <w:rFonts w:ascii="Garamond" w:hAnsi="Garamond"/>
        </w:rPr>
      </w:pPr>
      <w:r>
        <w:rPr>
          <w:rFonts w:ascii="Garamond" w:hAnsi="Garamond"/>
        </w:rPr>
        <w:t>W</w:t>
      </w:r>
      <w:r w:rsidRPr="004C3AD4">
        <w:rPr>
          <w:rFonts w:ascii="Garamond" w:hAnsi="Garamond"/>
        </w:rPr>
        <w:t xml:space="preserve">e can begin to make headway in resolving these </w:t>
      </w:r>
      <w:r>
        <w:rPr>
          <w:rFonts w:ascii="Garamond" w:hAnsi="Garamond"/>
        </w:rPr>
        <w:t>business case challenges</w:t>
      </w:r>
      <w:r w:rsidRPr="004C3AD4">
        <w:rPr>
          <w:rFonts w:ascii="Garamond" w:hAnsi="Garamond"/>
        </w:rPr>
        <w:t xml:space="preserve"> and creating greater investment certainty.  </w:t>
      </w:r>
      <w:r w:rsidR="002B3EDD" w:rsidRPr="002B3EDD">
        <w:rPr>
          <w:rFonts w:ascii="Garamond" w:hAnsi="Garamond"/>
        </w:rPr>
        <w:t>Many building professionals and their clients are aware of the value of investments in health and wellness features, as indicated by the surveys conducted by Dodge Data &amp; Analytics, finding that establishing and implementing goals for workplace health and wellness contributes to improved tenant/employee satisfaction, happier and healthier building occupants, improved financial benefits from greater productivity, and fulfilment of professional duty</w:t>
      </w:r>
      <w:r w:rsidR="002B3EDD" w:rsidRPr="002B3EDD">
        <w:rPr>
          <w:rFonts w:ascii="Garamond" w:hAnsi="Garamond"/>
          <w:bCs/>
        </w:rPr>
        <w:t>.</w:t>
      </w:r>
      <w:r w:rsidR="002B3EDD" w:rsidRPr="002B3EDD">
        <w:rPr>
          <w:rFonts w:ascii="Garamond" w:hAnsi="Garamond"/>
          <w:vertAlign w:val="superscript"/>
        </w:rPr>
        <w:footnoteReference w:id="11"/>
      </w:r>
    </w:p>
    <w:p w14:paraId="0EE995D6" w14:textId="77777777" w:rsidR="002B3EDD" w:rsidRDefault="002B3EDD" w:rsidP="0031393A">
      <w:pPr>
        <w:rPr>
          <w:rFonts w:ascii="Garamond" w:hAnsi="Garamond"/>
        </w:rPr>
      </w:pPr>
    </w:p>
    <w:p w14:paraId="73F88BAD" w14:textId="5C6B4538" w:rsidR="0031393A" w:rsidRDefault="0031393A" w:rsidP="0031393A">
      <w:pPr>
        <w:rPr>
          <w:rFonts w:ascii="Garamond" w:hAnsi="Garamond"/>
        </w:rPr>
      </w:pPr>
      <w:r w:rsidRPr="004C3AD4">
        <w:rPr>
          <w:rFonts w:ascii="Garamond" w:hAnsi="Garamond"/>
        </w:rPr>
        <w:t xml:space="preserve">The increased </w:t>
      </w:r>
      <w:r w:rsidR="00432699">
        <w:rPr>
          <w:rFonts w:ascii="Garamond" w:hAnsi="Garamond"/>
        </w:rPr>
        <w:t>interest in</w:t>
      </w:r>
      <w:r w:rsidRPr="004C3AD4">
        <w:rPr>
          <w:rFonts w:ascii="Garamond" w:hAnsi="Garamond"/>
        </w:rPr>
        <w:t xml:space="preserve"> </w:t>
      </w:r>
      <w:r w:rsidR="00432699">
        <w:rPr>
          <w:rFonts w:ascii="Garamond" w:hAnsi="Garamond"/>
        </w:rPr>
        <w:t xml:space="preserve">health and wellness features, as through use of </w:t>
      </w:r>
      <w:r>
        <w:rPr>
          <w:rFonts w:ascii="Garamond" w:hAnsi="Garamond"/>
        </w:rPr>
        <w:t xml:space="preserve">the </w:t>
      </w:r>
      <w:r w:rsidRPr="004C3AD4">
        <w:rPr>
          <w:rFonts w:ascii="Garamond" w:hAnsi="Garamond"/>
        </w:rPr>
        <w:t xml:space="preserve">WELL </w:t>
      </w:r>
      <w:r>
        <w:rPr>
          <w:rFonts w:ascii="Garamond" w:hAnsi="Garamond"/>
        </w:rPr>
        <w:t xml:space="preserve">Building Standard </w:t>
      </w:r>
      <w:r w:rsidRPr="004C3AD4">
        <w:rPr>
          <w:rFonts w:ascii="Garamond" w:hAnsi="Garamond"/>
        </w:rPr>
        <w:t>and Fitwel in new and renovated buildings</w:t>
      </w:r>
      <w:r w:rsidR="00432699">
        <w:rPr>
          <w:rFonts w:ascii="Garamond" w:hAnsi="Garamond"/>
        </w:rPr>
        <w:t>,</w:t>
      </w:r>
      <w:r w:rsidRPr="004C3AD4">
        <w:rPr>
          <w:rFonts w:ascii="Garamond" w:hAnsi="Garamond"/>
        </w:rPr>
        <w:t xml:space="preserve"> provides an excellent opportunity to assess how specific evidence-based design and operational practices influence changes in health outcomes. Although these programs do require data on health outcomes, their impacts </w:t>
      </w:r>
      <w:r w:rsidR="009B6683">
        <w:rPr>
          <w:rFonts w:ascii="Garamond" w:hAnsi="Garamond"/>
        </w:rPr>
        <w:t>can</w:t>
      </w:r>
      <w:r w:rsidR="009B6683" w:rsidRPr="004C3AD4">
        <w:rPr>
          <w:rFonts w:ascii="Garamond" w:hAnsi="Garamond"/>
        </w:rPr>
        <w:t xml:space="preserve"> </w:t>
      </w:r>
      <w:r w:rsidRPr="004C3AD4">
        <w:rPr>
          <w:rFonts w:ascii="Garamond" w:hAnsi="Garamond"/>
        </w:rPr>
        <w:t>be assessed in pre</w:t>
      </w:r>
      <w:r>
        <w:rPr>
          <w:rFonts w:ascii="Garamond" w:hAnsi="Garamond"/>
        </w:rPr>
        <w:t>-</w:t>
      </w:r>
      <w:r w:rsidRPr="004C3AD4">
        <w:rPr>
          <w:rFonts w:ascii="Garamond" w:hAnsi="Garamond"/>
        </w:rPr>
        <w:t xml:space="preserve"> and post</w:t>
      </w:r>
      <w:r>
        <w:rPr>
          <w:rFonts w:ascii="Garamond" w:hAnsi="Garamond"/>
        </w:rPr>
        <w:t>-</w:t>
      </w:r>
      <w:r w:rsidRPr="004C3AD4">
        <w:rPr>
          <w:rFonts w:ascii="Garamond" w:hAnsi="Garamond"/>
        </w:rPr>
        <w:t xml:space="preserve">evaluations using validated health assessment instruments and methodologies, with research conducted by neutral third parties. Similar evaluations could be conducted in buildings that are testing specific new </w:t>
      </w:r>
      <w:r>
        <w:rPr>
          <w:rFonts w:ascii="Garamond" w:hAnsi="Garamond"/>
        </w:rPr>
        <w:t xml:space="preserve">wellness </w:t>
      </w:r>
      <w:r w:rsidRPr="004C3AD4">
        <w:rPr>
          <w:rFonts w:ascii="Garamond" w:hAnsi="Garamond"/>
        </w:rPr>
        <w:t xml:space="preserve">practices </w:t>
      </w:r>
      <w:r>
        <w:rPr>
          <w:rFonts w:ascii="Garamond" w:hAnsi="Garamond"/>
        </w:rPr>
        <w:t xml:space="preserve">related </w:t>
      </w:r>
      <w:r w:rsidRPr="004C3AD4">
        <w:rPr>
          <w:rFonts w:ascii="Garamond" w:hAnsi="Garamond"/>
        </w:rPr>
        <w:t>to health</w:t>
      </w:r>
      <w:r>
        <w:rPr>
          <w:rFonts w:ascii="Garamond" w:hAnsi="Garamond"/>
        </w:rPr>
        <w:t xml:space="preserve"> outcomes</w:t>
      </w:r>
      <w:r w:rsidRPr="004C3AD4">
        <w:rPr>
          <w:rFonts w:ascii="Garamond" w:hAnsi="Garamond"/>
        </w:rPr>
        <w:t>.</w:t>
      </w:r>
    </w:p>
    <w:p w14:paraId="17237EE3" w14:textId="77777777" w:rsidR="00F900CC" w:rsidRDefault="00F900CC" w:rsidP="00F900CC">
      <w:pPr>
        <w:rPr>
          <w:rFonts w:ascii="Garamond" w:hAnsi="Garamond"/>
          <w:color w:val="000000" w:themeColor="text1"/>
        </w:rPr>
      </w:pPr>
    </w:p>
    <w:p w14:paraId="1EB1BA84" w14:textId="6B46D714" w:rsidR="002B3EDD" w:rsidRDefault="002B3EDD" w:rsidP="00F900CC">
      <w:pPr>
        <w:rPr>
          <w:rFonts w:ascii="Garamond" w:hAnsi="Garamond"/>
          <w:color w:val="000000" w:themeColor="text1"/>
        </w:rPr>
      </w:pPr>
      <w:r w:rsidRPr="002B3EDD">
        <w:rPr>
          <w:rFonts w:ascii="Garamond" w:hAnsi="Garamond"/>
          <w:color w:val="000000" w:themeColor="text1"/>
        </w:rPr>
        <w:t>A key area requiring additional research is methods and metrics for health and wellness outcomes based upon behavioral and active design. Work on this topic will require a joint effort of organizations and federal agencies that are currently working in the health and buildings arena. For example, NIH hosts a Health in Buildings Roundtable (HiBR) that could serve as a convener for such an effort.  GSA’s new Buildings and Health Program focuses on creating a network of organizations that can move forward together to</w:t>
      </w:r>
      <w:r w:rsidRPr="002B3EDD">
        <w:rPr>
          <w:rFonts w:ascii="Garamond" w:hAnsi="Garamond"/>
          <w:b/>
          <w:color w:val="000000" w:themeColor="text1"/>
        </w:rPr>
        <w:t xml:space="preserve"> </w:t>
      </w:r>
      <w:r w:rsidRPr="002B3EDD">
        <w:rPr>
          <w:rFonts w:ascii="Garamond" w:hAnsi="Garamond"/>
          <w:color w:val="000000" w:themeColor="text1"/>
        </w:rPr>
        <w:t xml:space="preserve">implement evidence-based practices to enhance health in buildings and to test the effectiveness of these new practices. </w:t>
      </w:r>
    </w:p>
    <w:p w14:paraId="234D2675" w14:textId="77777777" w:rsidR="002B3EDD" w:rsidRDefault="002B3EDD" w:rsidP="00F900CC">
      <w:pPr>
        <w:rPr>
          <w:rFonts w:ascii="Garamond" w:hAnsi="Garamond"/>
          <w:color w:val="000000" w:themeColor="text1"/>
        </w:rPr>
      </w:pPr>
    </w:p>
    <w:p w14:paraId="33C1392C" w14:textId="7F217247" w:rsidR="00F900CC" w:rsidRDefault="00F900CC" w:rsidP="00F900CC">
      <w:pPr>
        <w:rPr>
          <w:rFonts w:ascii="Garamond" w:hAnsi="Garamond"/>
          <w:color w:val="000000" w:themeColor="text1"/>
        </w:rPr>
      </w:pPr>
      <w:r>
        <w:rPr>
          <w:rFonts w:ascii="Garamond" w:hAnsi="Garamond"/>
          <w:color w:val="000000" w:themeColor="text1"/>
        </w:rPr>
        <w:t xml:space="preserve">Reliable </w:t>
      </w:r>
      <w:r w:rsidRPr="007E5CDA">
        <w:rPr>
          <w:rFonts w:ascii="Garamond" w:hAnsi="Garamond"/>
          <w:color w:val="000000" w:themeColor="text1"/>
        </w:rPr>
        <w:t>return on investment (ROI)</w:t>
      </w:r>
      <w:r>
        <w:rPr>
          <w:rFonts w:ascii="Garamond" w:hAnsi="Garamond"/>
          <w:color w:val="000000" w:themeColor="text1"/>
        </w:rPr>
        <w:t xml:space="preserve"> of building health and wellness strategies is difficult to calculate without additional research on the impacts, costs and benefits of these strategies.  In addition to healthcare economists evaluating healthcare outcomes, it is suggested that costs also be evaluated in conjunction with design and construction economists. </w:t>
      </w:r>
      <w:r w:rsidR="00F36340">
        <w:rPr>
          <w:rFonts w:ascii="Garamond" w:hAnsi="Garamond"/>
          <w:color w:val="000000" w:themeColor="text1"/>
        </w:rPr>
        <w:t>W</w:t>
      </w:r>
      <w:r>
        <w:rPr>
          <w:rFonts w:ascii="Garamond" w:hAnsi="Garamond"/>
          <w:color w:val="000000" w:themeColor="text1"/>
        </w:rPr>
        <w:t>e can s</w:t>
      </w:r>
      <w:r w:rsidR="00F36340">
        <w:rPr>
          <w:rFonts w:ascii="Garamond" w:hAnsi="Garamond"/>
          <w:color w:val="000000" w:themeColor="text1"/>
        </w:rPr>
        <w:t>tate</w:t>
      </w:r>
      <w:r>
        <w:rPr>
          <w:rFonts w:ascii="Garamond" w:hAnsi="Garamond"/>
          <w:color w:val="000000" w:themeColor="text1"/>
        </w:rPr>
        <w:t xml:space="preserve"> with confidence</w:t>
      </w:r>
      <w:r w:rsidR="009B6683">
        <w:rPr>
          <w:rFonts w:ascii="Garamond" w:hAnsi="Garamond"/>
          <w:color w:val="000000" w:themeColor="text1"/>
        </w:rPr>
        <w:t xml:space="preserve"> that</w:t>
      </w:r>
      <w:r w:rsidR="00F36340">
        <w:rPr>
          <w:rFonts w:ascii="Garamond" w:hAnsi="Garamond"/>
          <w:color w:val="000000" w:themeColor="text1"/>
        </w:rPr>
        <w:t>:</w:t>
      </w:r>
    </w:p>
    <w:p w14:paraId="16BB0ACE" w14:textId="77777777" w:rsidR="00F900CC" w:rsidRDefault="00F900CC" w:rsidP="00F900CC">
      <w:pPr>
        <w:rPr>
          <w:rFonts w:ascii="Garamond" w:hAnsi="Garamond"/>
          <w:color w:val="000000" w:themeColor="text1"/>
        </w:rPr>
      </w:pPr>
    </w:p>
    <w:p w14:paraId="209A2EB2" w14:textId="77777777" w:rsidR="00F900CC" w:rsidRDefault="00F900CC" w:rsidP="00F900CC">
      <w:pPr>
        <w:pStyle w:val="ListParagraph"/>
        <w:numPr>
          <w:ilvl w:val="0"/>
          <w:numId w:val="20"/>
        </w:numPr>
        <w:rPr>
          <w:rFonts w:ascii="Garamond" w:hAnsi="Garamond"/>
          <w:color w:val="000000" w:themeColor="text1"/>
        </w:rPr>
      </w:pPr>
      <w:r w:rsidRPr="00585309">
        <w:rPr>
          <w:rFonts w:ascii="Garamond" w:hAnsi="Garamond"/>
          <w:color w:val="000000" w:themeColor="text1"/>
        </w:rPr>
        <w:t>Federal employees represent an enormous investment</w:t>
      </w:r>
      <w:r>
        <w:rPr>
          <w:rFonts w:ascii="Garamond" w:hAnsi="Garamond"/>
          <w:color w:val="000000" w:themeColor="text1"/>
        </w:rPr>
        <w:t xml:space="preserve"> and</w:t>
      </w:r>
      <w:r w:rsidRPr="00585309">
        <w:rPr>
          <w:rFonts w:ascii="Garamond" w:hAnsi="Garamond"/>
          <w:color w:val="000000" w:themeColor="text1"/>
        </w:rPr>
        <w:t xml:space="preserve"> health and wellness</w:t>
      </w:r>
      <w:r>
        <w:rPr>
          <w:rFonts w:ascii="Garamond" w:hAnsi="Garamond"/>
          <w:color w:val="000000" w:themeColor="text1"/>
        </w:rPr>
        <w:t xml:space="preserve"> can impact</w:t>
      </w:r>
      <w:r w:rsidRPr="00585309">
        <w:rPr>
          <w:rFonts w:ascii="Garamond" w:hAnsi="Garamond"/>
          <w:color w:val="000000" w:themeColor="text1"/>
        </w:rPr>
        <w:t xml:space="preserve"> their </w:t>
      </w:r>
      <w:r>
        <w:rPr>
          <w:rFonts w:ascii="Garamond" w:hAnsi="Garamond"/>
          <w:color w:val="000000" w:themeColor="text1"/>
        </w:rPr>
        <w:t>performance.</w:t>
      </w:r>
    </w:p>
    <w:p w14:paraId="55FE1C6F" w14:textId="77777777" w:rsidR="00F900CC" w:rsidRDefault="00F900CC" w:rsidP="00F900CC">
      <w:pPr>
        <w:pStyle w:val="ListParagraph"/>
        <w:numPr>
          <w:ilvl w:val="0"/>
          <w:numId w:val="20"/>
        </w:numPr>
        <w:rPr>
          <w:rFonts w:ascii="Garamond" w:hAnsi="Garamond"/>
          <w:color w:val="000000" w:themeColor="text1"/>
        </w:rPr>
      </w:pPr>
      <w:r>
        <w:rPr>
          <w:rFonts w:ascii="Garamond" w:hAnsi="Garamond"/>
          <w:color w:val="000000" w:themeColor="text1"/>
        </w:rPr>
        <w:t>The conditions of workplaces</w:t>
      </w:r>
      <w:r w:rsidRPr="00585309">
        <w:rPr>
          <w:rFonts w:ascii="Garamond" w:hAnsi="Garamond"/>
          <w:color w:val="000000" w:themeColor="text1"/>
        </w:rPr>
        <w:t xml:space="preserve"> can negatively or positively affect employees’ physical and mental conditions</w:t>
      </w:r>
      <w:r>
        <w:rPr>
          <w:rFonts w:ascii="Garamond" w:hAnsi="Garamond"/>
          <w:color w:val="000000" w:themeColor="text1"/>
        </w:rPr>
        <w:t>.</w:t>
      </w:r>
    </w:p>
    <w:p w14:paraId="1095A9E4" w14:textId="012BE1D4" w:rsidR="00F900CC" w:rsidRPr="00585309" w:rsidRDefault="00F900CC" w:rsidP="00F900CC">
      <w:pPr>
        <w:pStyle w:val="ListParagraph"/>
        <w:numPr>
          <w:ilvl w:val="0"/>
          <w:numId w:val="20"/>
        </w:numPr>
        <w:rPr>
          <w:rFonts w:ascii="Garamond" w:hAnsi="Garamond"/>
          <w:color w:val="000000" w:themeColor="text1"/>
        </w:rPr>
      </w:pPr>
      <w:r>
        <w:rPr>
          <w:rFonts w:ascii="Garamond" w:hAnsi="Garamond"/>
          <w:color w:val="000000" w:themeColor="text1"/>
        </w:rPr>
        <w:t>Therefore, investing in workplaces that promote employee health and wellness is a valid and reasonable approach, even if an absolute ROI cannot be calculated at this time.</w:t>
      </w:r>
    </w:p>
    <w:p w14:paraId="58A341F4" w14:textId="77777777" w:rsidR="00F900CC" w:rsidRDefault="00F900CC" w:rsidP="00F900CC">
      <w:pPr>
        <w:rPr>
          <w:rFonts w:ascii="Garamond" w:hAnsi="Garamond"/>
          <w:color w:val="000000" w:themeColor="text1"/>
        </w:rPr>
      </w:pPr>
    </w:p>
    <w:p w14:paraId="68CF5F43" w14:textId="3BEE031A" w:rsidR="00F36340" w:rsidRDefault="00F36340" w:rsidP="00F36340">
      <w:pPr>
        <w:rPr>
          <w:rFonts w:ascii="Garamond" w:hAnsi="Garamond"/>
        </w:rPr>
      </w:pPr>
    </w:p>
    <w:p w14:paraId="0049579B" w14:textId="53783030" w:rsidR="00EB0E71" w:rsidRDefault="00EB0E71" w:rsidP="00F900CC">
      <w:pPr>
        <w:rPr>
          <w:rFonts w:ascii="Garamond" w:hAnsi="Garamond"/>
          <w:color w:val="000000" w:themeColor="text1"/>
        </w:rPr>
      </w:pPr>
      <w:r>
        <w:rPr>
          <w:rFonts w:ascii="Garamond" w:hAnsi="Garamond"/>
        </w:rPr>
        <w:lastRenderedPageBreak/>
        <w:t>Mitchell and Bates conducted a study</w:t>
      </w:r>
      <w:r>
        <w:rPr>
          <w:rFonts w:ascii="Garamond" w:hAnsi="Garamond"/>
          <w:color w:val="000000" w:themeColor="text1"/>
        </w:rPr>
        <w:t xml:space="preserve"> </w:t>
      </w:r>
      <w:r w:rsidRPr="001206E2">
        <w:rPr>
          <w:rFonts w:ascii="Garamond" w:hAnsi="Garamond"/>
          <w:color w:val="000000" w:themeColor="text1"/>
        </w:rPr>
        <w:t>to determine the relatio</w:t>
      </w:r>
      <w:r>
        <w:rPr>
          <w:rFonts w:ascii="Garamond" w:hAnsi="Garamond"/>
          <w:color w:val="000000" w:themeColor="text1"/>
        </w:rPr>
        <w:t xml:space="preserve">nship between health conditions, absenteeism and presenteeism in a workplace, and then estimate and monetize </w:t>
      </w:r>
      <w:r w:rsidRPr="001206E2">
        <w:rPr>
          <w:rFonts w:ascii="Garamond" w:hAnsi="Garamond"/>
          <w:color w:val="000000" w:themeColor="text1"/>
        </w:rPr>
        <w:t>lost work performance</w:t>
      </w:r>
      <w:r>
        <w:rPr>
          <w:rFonts w:ascii="Garamond" w:hAnsi="Garamond"/>
          <w:color w:val="000000" w:themeColor="text1"/>
        </w:rPr>
        <w:t xml:space="preserve"> in productivity terms</w:t>
      </w:r>
      <w:r w:rsidRPr="001206E2">
        <w:rPr>
          <w:rFonts w:ascii="Garamond" w:hAnsi="Garamond"/>
          <w:color w:val="000000" w:themeColor="text1"/>
        </w:rPr>
        <w:t xml:space="preserve">.  </w:t>
      </w:r>
      <w:r>
        <w:rPr>
          <w:rFonts w:ascii="Garamond" w:hAnsi="Garamond"/>
          <w:color w:val="000000" w:themeColor="text1"/>
        </w:rPr>
        <w:t>Using survey data from 1.3 million employed Health Risk Assessment (HRA) participants for self-reported health conditions and work loss, they translated reported lost hours into costs to the employer of health-related absenteeism and presenteeism.  The s</w:t>
      </w:r>
      <w:r w:rsidRPr="00F04626">
        <w:rPr>
          <w:rFonts w:ascii="Garamond" w:hAnsi="Garamond"/>
          <w:color w:val="000000" w:themeColor="text1"/>
        </w:rPr>
        <w:t xml:space="preserve">tudy concluded that an employer with 10,000 employees could face nearly $3.8 million in productivity loss each year, in addition to medical costs for these conditions.  </w:t>
      </w:r>
      <w:r w:rsidR="001C37D9">
        <w:rPr>
          <w:rFonts w:ascii="Garamond" w:hAnsi="Garamond"/>
          <w:color w:val="000000" w:themeColor="text1"/>
        </w:rPr>
        <w:t>A</w:t>
      </w:r>
      <w:r w:rsidR="00030138" w:rsidRPr="00030138">
        <w:rPr>
          <w:rFonts w:ascii="Garamond" w:hAnsi="Garamond"/>
          <w:color w:val="000000" w:themeColor="text1"/>
        </w:rPr>
        <w:t>dditional</w:t>
      </w:r>
      <w:r w:rsidRPr="00030138">
        <w:rPr>
          <w:rFonts w:ascii="Garamond" w:hAnsi="Garamond"/>
          <w:color w:val="000000" w:themeColor="text1"/>
        </w:rPr>
        <w:t xml:space="preserve"> research is needed to determine the effects of treatment on productivity loss and whether savings could be realized by optimally managing the health risks and conditions included in this analysis.</w:t>
      </w:r>
      <w:r>
        <w:rPr>
          <w:rStyle w:val="FootnoteReference"/>
          <w:rFonts w:ascii="Garamond" w:hAnsi="Garamond"/>
          <w:color w:val="000000" w:themeColor="text1"/>
        </w:rPr>
        <w:footnoteReference w:id="12"/>
      </w:r>
    </w:p>
    <w:p w14:paraId="15B1C7A0" w14:textId="77777777" w:rsidR="00EB0E71" w:rsidRDefault="00EB0E71" w:rsidP="00F900CC">
      <w:pPr>
        <w:rPr>
          <w:rFonts w:ascii="Garamond" w:hAnsi="Garamond"/>
          <w:color w:val="000000" w:themeColor="text1"/>
        </w:rPr>
      </w:pPr>
    </w:p>
    <w:p w14:paraId="42B49FEE" w14:textId="389798D9" w:rsidR="00F900CC" w:rsidRDefault="00F900CC" w:rsidP="00F900CC">
      <w:pPr>
        <w:rPr>
          <w:rFonts w:ascii="Garamond" w:hAnsi="Garamond"/>
          <w:color w:val="000000" w:themeColor="text1"/>
        </w:rPr>
      </w:pPr>
      <w:r>
        <w:rPr>
          <w:rFonts w:ascii="Garamond" w:hAnsi="Garamond"/>
          <w:color w:val="000000" w:themeColor="text1"/>
        </w:rPr>
        <w:t>A</w:t>
      </w:r>
      <w:r w:rsidR="002B3EDD">
        <w:rPr>
          <w:rFonts w:ascii="Garamond" w:hAnsi="Garamond"/>
          <w:color w:val="000000" w:themeColor="text1"/>
        </w:rPr>
        <w:t>nother</w:t>
      </w:r>
      <w:r>
        <w:rPr>
          <w:rFonts w:ascii="Garamond" w:hAnsi="Garamond"/>
          <w:color w:val="000000" w:themeColor="text1"/>
        </w:rPr>
        <w:t xml:space="preserve"> potential approach to estimating the costs of an unhealthy workplace would be to conservatively postulate an extremely low percentage impact on the Federal government’s costs – e.g., if the current 2.6% illness/injury absenteeism rate, representing $5.6 billion of lost output, were to be reduced by a mere 1%</w:t>
      </w:r>
      <w:r w:rsidR="001C37D9">
        <w:rPr>
          <w:rFonts w:ascii="Garamond" w:hAnsi="Garamond"/>
          <w:color w:val="000000" w:themeColor="text1"/>
        </w:rPr>
        <w:t xml:space="preserve"> of the total</w:t>
      </w:r>
      <w:r>
        <w:rPr>
          <w:rFonts w:ascii="Garamond" w:hAnsi="Garamond"/>
          <w:color w:val="000000" w:themeColor="text1"/>
        </w:rPr>
        <w:t>, that would represent recovered value of $56 million per year, the equivalent of annual pay and ben</w:t>
      </w:r>
      <w:r w:rsidR="00030138">
        <w:rPr>
          <w:rFonts w:ascii="Garamond" w:hAnsi="Garamond"/>
          <w:color w:val="000000" w:themeColor="text1"/>
        </w:rPr>
        <w:t xml:space="preserve">efits for about 573 employees. </w:t>
      </w:r>
      <w:r w:rsidR="00A50101">
        <w:rPr>
          <w:rFonts w:ascii="Garamond" w:hAnsi="Garamond"/>
          <w:color w:val="000000" w:themeColor="text1"/>
        </w:rPr>
        <w:t xml:space="preserve">While not based on measures of specific effects, such estimates can convey the </w:t>
      </w:r>
      <w:r w:rsidR="00030138">
        <w:rPr>
          <w:rFonts w:ascii="Garamond" w:hAnsi="Garamond"/>
          <w:color w:val="000000" w:themeColor="text1"/>
        </w:rPr>
        <w:t xml:space="preserve">order of magnitude of impact </w:t>
      </w:r>
      <w:r w:rsidR="00A50101">
        <w:rPr>
          <w:rFonts w:ascii="Garamond" w:hAnsi="Garamond"/>
          <w:color w:val="000000" w:themeColor="text1"/>
        </w:rPr>
        <w:t xml:space="preserve">that could potentially be achieved with </w:t>
      </w:r>
      <w:r w:rsidR="00030138">
        <w:rPr>
          <w:rFonts w:ascii="Garamond" w:hAnsi="Garamond"/>
          <w:color w:val="000000" w:themeColor="text1"/>
        </w:rPr>
        <w:t>health and wellness</w:t>
      </w:r>
      <w:r w:rsidR="00A50101">
        <w:rPr>
          <w:rFonts w:ascii="Garamond" w:hAnsi="Garamond"/>
          <w:color w:val="000000" w:themeColor="text1"/>
        </w:rPr>
        <w:t xml:space="preserve"> improvements in buildings</w:t>
      </w:r>
      <w:r w:rsidR="00030138">
        <w:rPr>
          <w:rFonts w:ascii="Garamond" w:hAnsi="Garamond"/>
          <w:color w:val="000000" w:themeColor="text1"/>
        </w:rPr>
        <w:t xml:space="preserve">. </w:t>
      </w:r>
    </w:p>
    <w:p w14:paraId="5272B42E" w14:textId="2754F88A" w:rsidR="004F3ED0" w:rsidRDefault="004F3ED0" w:rsidP="00F900CC">
      <w:pPr>
        <w:rPr>
          <w:rStyle w:val="FooterChar"/>
          <w:rFonts w:ascii="Garamond" w:hAnsi="Garamond"/>
        </w:rPr>
      </w:pPr>
    </w:p>
    <w:p w14:paraId="659B99D9" w14:textId="77777777" w:rsidR="00B30993" w:rsidRPr="00B30993" w:rsidRDefault="00B30993" w:rsidP="00B30993">
      <w:pPr>
        <w:rPr>
          <w:rFonts w:ascii="Garamond" w:hAnsi="Garamond"/>
        </w:rPr>
      </w:pPr>
      <w:r w:rsidRPr="00B30993">
        <w:rPr>
          <w:rFonts w:ascii="Garamond" w:hAnsi="Garamond"/>
        </w:rPr>
        <w:t xml:space="preserve">These issues form part of a larger focus on Social Return on Investment (SROI), an emerging cost benefit analysis methodology for monetizing social and environmental impacts related to a specific investment or project.  The similar concept of </w:t>
      </w:r>
      <w:r w:rsidRPr="00B30993">
        <w:rPr>
          <w:rFonts w:ascii="Garamond" w:hAnsi="Garamond"/>
          <w:bCs/>
        </w:rPr>
        <w:t>sustainable return on investment</w:t>
      </w:r>
      <w:r w:rsidRPr="00B30993">
        <w:rPr>
          <w:rFonts w:ascii="Garamond" w:hAnsi="Garamond"/>
        </w:rPr>
        <w:t> (S-ROI)</w:t>
      </w:r>
      <w:r w:rsidRPr="00B30993">
        <w:rPr>
          <w:rFonts w:ascii="Garamond" w:hAnsi="Garamond"/>
          <w:bCs/>
          <w:vertAlign w:val="superscript"/>
        </w:rPr>
        <w:footnoteReference w:id="13"/>
      </w:r>
      <w:r w:rsidRPr="00B30993">
        <w:rPr>
          <w:rFonts w:ascii="Garamond" w:hAnsi="Garamond"/>
        </w:rPr>
        <w:t xml:space="preserve"> refers to a methodology specifically focused on the environmental, economic and social impacts of infrastructure, community development, and public policy (e.g. bridges, highways, buildings, and zoning codes).  The goal of S-ROI is to make risk-opportunity assessments more robust by providing new visibility into intangible internal costs and benefits, and externalities - social, economic, and environmental effects that are typically not considered in traditional cash-oriented project planning. Appendix D covers these concepts in more detail.</w:t>
      </w:r>
    </w:p>
    <w:p w14:paraId="7820A0F6" w14:textId="77777777" w:rsidR="00B30993" w:rsidRDefault="00B30993" w:rsidP="00F900CC">
      <w:pPr>
        <w:rPr>
          <w:rStyle w:val="FooterChar"/>
          <w:rFonts w:ascii="Garamond" w:hAnsi="Garamond"/>
        </w:rPr>
      </w:pPr>
    </w:p>
    <w:p w14:paraId="2EA9C7C9" w14:textId="77777777" w:rsidR="00030138" w:rsidRDefault="00030138">
      <w:pPr>
        <w:rPr>
          <w:rFonts w:ascii="Garamond" w:hAnsi="Garamond"/>
          <w:b/>
          <w:color w:val="000000" w:themeColor="text1"/>
        </w:rPr>
      </w:pPr>
    </w:p>
    <w:p w14:paraId="0BDA7F4F" w14:textId="116A1B66" w:rsidR="00360421" w:rsidRPr="00191D2F" w:rsidRDefault="00360421" w:rsidP="00A03DB7">
      <w:pPr>
        <w:pStyle w:val="Heading1"/>
      </w:pPr>
      <w:r w:rsidRPr="00191D2F">
        <w:t>Section 5: Conclusion</w:t>
      </w:r>
    </w:p>
    <w:p w14:paraId="04563021" w14:textId="660E43F5" w:rsidR="0020436E" w:rsidRPr="0020436E" w:rsidRDefault="00785FD9">
      <w:pPr>
        <w:rPr>
          <w:rFonts w:ascii="Garamond" w:hAnsi="Garamond"/>
          <w:color w:val="000000" w:themeColor="text1"/>
        </w:rPr>
      </w:pPr>
      <w:r w:rsidRPr="00785FD9">
        <w:rPr>
          <w:rFonts w:ascii="Garamond" w:hAnsi="Garamond"/>
          <w:color w:val="000000" w:themeColor="text1"/>
        </w:rPr>
        <w:t xml:space="preserve">GSA has made commendable efforts to promote wellness </w:t>
      </w:r>
      <w:r>
        <w:rPr>
          <w:rFonts w:ascii="Garamond" w:hAnsi="Garamond"/>
          <w:color w:val="000000" w:themeColor="text1"/>
        </w:rPr>
        <w:t xml:space="preserve">and evaluate workplace outcomes for employees. </w:t>
      </w:r>
      <w:r w:rsidRPr="00785FD9">
        <w:rPr>
          <w:rFonts w:ascii="Garamond" w:hAnsi="Garamond"/>
          <w:color w:val="000000" w:themeColor="text1"/>
        </w:rPr>
        <w:t xml:space="preserve"> </w:t>
      </w:r>
      <w:r>
        <w:rPr>
          <w:rFonts w:ascii="Garamond" w:hAnsi="Garamond"/>
          <w:color w:val="000000" w:themeColor="text1"/>
        </w:rPr>
        <w:t>B</w:t>
      </w:r>
      <w:r w:rsidRPr="00785FD9">
        <w:rPr>
          <w:rFonts w:ascii="Garamond" w:hAnsi="Garamond"/>
          <w:color w:val="000000" w:themeColor="text1"/>
        </w:rPr>
        <w:t>y implementing the recommendations herein</w:t>
      </w:r>
      <w:r>
        <w:rPr>
          <w:rFonts w:ascii="Garamond" w:hAnsi="Garamond"/>
          <w:color w:val="000000" w:themeColor="text1"/>
        </w:rPr>
        <w:t>, GSA and the Federal government</w:t>
      </w:r>
      <w:r w:rsidRPr="00785FD9">
        <w:rPr>
          <w:rFonts w:ascii="Garamond" w:hAnsi="Garamond"/>
          <w:color w:val="000000" w:themeColor="text1"/>
        </w:rPr>
        <w:t xml:space="preserve"> could </w:t>
      </w:r>
      <w:r>
        <w:rPr>
          <w:rFonts w:ascii="Garamond" w:hAnsi="Garamond"/>
          <w:color w:val="000000" w:themeColor="text1"/>
        </w:rPr>
        <w:t>lead</w:t>
      </w:r>
      <w:r w:rsidRPr="00785FD9">
        <w:rPr>
          <w:rFonts w:ascii="Garamond" w:hAnsi="Garamond"/>
          <w:color w:val="000000" w:themeColor="text1"/>
        </w:rPr>
        <w:t xml:space="preserve"> the </w:t>
      </w:r>
      <w:r>
        <w:rPr>
          <w:rFonts w:ascii="Garamond" w:hAnsi="Garamond"/>
          <w:color w:val="000000" w:themeColor="text1"/>
        </w:rPr>
        <w:t>building sector forward on these issues.</w:t>
      </w:r>
      <w:r w:rsidRPr="00785FD9" w:rsidDel="00785FD9">
        <w:rPr>
          <w:rFonts w:ascii="Garamond" w:hAnsi="Garamond"/>
          <w:color w:val="000000" w:themeColor="text1"/>
        </w:rPr>
        <w:t xml:space="preserve"> </w:t>
      </w:r>
      <w:r w:rsidR="00191D2F">
        <w:rPr>
          <w:rFonts w:ascii="Garamond" w:hAnsi="Garamond"/>
          <w:color w:val="000000" w:themeColor="text1"/>
        </w:rPr>
        <w:t xml:space="preserve">It is recommended that GSA </w:t>
      </w:r>
      <w:r w:rsidR="00EC74DC">
        <w:rPr>
          <w:rFonts w:ascii="Garamond" w:hAnsi="Garamond"/>
          <w:color w:val="000000" w:themeColor="text1"/>
        </w:rPr>
        <w:t>collaborate with</w:t>
      </w:r>
      <w:r w:rsidR="00D379C2">
        <w:rPr>
          <w:rFonts w:ascii="Garamond" w:hAnsi="Garamond"/>
          <w:color w:val="000000" w:themeColor="text1"/>
        </w:rPr>
        <w:t xml:space="preserve"> health and wellness </w:t>
      </w:r>
      <w:r w:rsidR="00A50101">
        <w:rPr>
          <w:rFonts w:ascii="Garamond" w:hAnsi="Garamond"/>
          <w:color w:val="000000" w:themeColor="text1"/>
        </w:rPr>
        <w:t xml:space="preserve">professionals, </w:t>
      </w:r>
      <w:r w:rsidR="00D379C2">
        <w:rPr>
          <w:rFonts w:ascii="Garamond" w:hAnsi="Garamond"/>
          <w:color w:val="000000" w:themeColor="text1"/>
        </w:rPr>
        <w:t>researchers and economists in</w:t>
      </w:r>
      <w:r w:rsidR="0020436E" w:rsidRPr="0020436E">
        <w:rPr>
          <w:rFonts w:ascii="Garamond" w:hAnsi="Garamond"/>
          <w:color w:val="000000" w:themeColor="text1"/>
        </w:rPr>
        <w:t xml:space="preserve"> the </w:t>
      </w:r>
      <w:r w:rsidR="007363AF">
        <w:rPr>
          <w:rFonts w:ascii="Garamond" w:hAnsi="Garamond"/>
          <w:color w:val="000000" w:themeColor="text1"/>
        </w:rPr>
        <w:t>Federal</w:t>
      </w:r>
      <w:r w:rsidR="0020436E" w:rsidRPr="0020436E">
        <w:rPr>
          <w:rFonts w:ascii="Garamond" w:hAnsi="Garamond"/>
          <w:color w:val="000000" w:themeColor="text1"/>
        </w:rPr>
        <w:t xml:space="preserve"> government</w:t>
      </w:r>
      <w:r w:rsidR="00191D2F">
        <w:rPr>
          <w:rFonts w:ascii="Garamond" w:hAnsi="Garamond"/>
          <w:color w:val="000000" w:themeColor="text1"/>
        </w:rPr>
        <w:t>, the commercial sector,</w:t>
      </w:r>
      <w:r w:rsidR="00690140">
        <w:rPr>
          <w:rFonts w:ascii="Garamond" w:hAnsi="Garamond"/>
          <w:color w:val="000000" w:themeColor="text1"/>
        </w:rPr>
        <w:t xml:space="preserve"> and throughout the</w:t>
      </w:r>
      <w:r w:rsidR="0020436E" w:rsidRPr="0020436E">
        <w:rPr>
          <w:rFonts w:ascii="Garamond" w:hAnsi="Garamond"/>
          <w:color w:val="000000" w:themeColor="text1"/>
        </w:rPr>
        <w:t xml:space="preserve"> country </w:t>
      </w:r>
      <w:r w:rsidR="00A50101">
        <w:rPr>
          <w:rFonts w:ascii="Garamond" w:hAnsi="Garamond"/>
          <w:color w:val="000000" w:themeColor="text1"/>
        </w:rPr>
        <w:t>on</w:t>
      </w:r>
      <w:r w:rsidR="00A50101" w:rsidRPr="0020436E">
        <w:rPr>
          <w:rFonts w:ascii="Garamond" w:hAnsi="Garamond"/>
          <w:color w:val="000000" w:themeColor="text1"/>
        </w:rPr>
        <w:t xml:space="preserve"> </w:t>
      </w:r>
      <w:r w:rsidR="0020436E" w:rsidRPr="0020436E">
        <w:rPr>
          <w:rFonts w:ascii="Garamond" w:hAnsi="Garamond"/>
          <w:color w:val="000000" w:themeColor="text1"/>
        </w:rPr>
        <w:t>the integration of health and wellness criteria in</w:t>
      </w:r>
      <w:r w:rsidR="00191D2F">
        <w:rPr>
          <w:rFonts w:ascii="Garamond" w:hAnsi="Garamond"/>
          <w:color w:val="000000" w:themeColor="text1"/>
        </w:rPr>
        <w:t>to</w:t>
      </w:r>
      <w:r w:rsidR="0020436E" w:rsidRPr="0020436E">
        <w:rPr>
          <w:rFonts w:ascii="Garamond" w:hAnsi="Garamond"/>
          <w:color w:val="000000" w:themeColor="text1"/>
        </w:rPr>
        <w:t xml:space="preserve"> building design</w:t>
      </w:r>
      <w:r w:rsidR="00191D2F">
        <w:rPr>
          <w:rFonts w:ascii="Garamond" w:hAnsi="Garamond"/>
          <w:color w:val="000000" w:themeColor="text1"/>
        </w:rPr>
        <w:t>, construction,</w:t>
      </w:r>
      <w:r w:rsidR="0020436E" w:rsidRPr="0020436E">
        <w:rPr>
          <w:rFonts w:ascii="Garamond" w:hAnsi="Garamond"/>
          <w:color w:val="000000" w:themeColor="text1"/>
        </w:rPr>
        <w:t xml:space="preserve"> and operation. Through the recommendations identified by the </w:t>
      </w:r>
      <w:r w:rsidR="006F15AC">
        <w:rPr>
          <w:rFonts w:ascii="Garamond" w:hAnsi="Garamond"/>
          <w:color w:val="000000" w:themeColor="text1"/>
        </w:rPr>
        <w:t>Committee</w:t>
      </w:r>
      <w:r w:rsidR="0020436E" w:rsidRPr="0020436E">
        <w:rPr>
          <w:rFonts w:ascii="Garamond" w:hAnsi="Garamond"/>
          <w:color w:val="000000" w:themeColor="text1"/>
        </w:rPr>
        <w:t xml:space="preserve">, the </w:t>
      </w:r>
      <w:r w:rsidR="007363AF">
        <w:rPr>
          <w:rFonts w:ascii="Garamond" w:hAnsi="Garamond"/>
          <w:color w:val="000000" w:themeColor="text1"/>
        </w:rPr>
        <w:t>Federal</w:t>
      </w:r>
      <w:r w:rsidR="0020436E" w:rsidRPr="0020436E">
        <w:rPr>
          <w:rFonts w:ascii="Garamond" w:hAnsi="Garamond"/>
          <w:color w:val="000000" w:themeColor="text1"/>
        </w:rPr>
        <w:t xml:space="preserve"> government can improve </w:t>
      </w:r>
      <w:r w:rsidR="00191D2F">
        <w:rPr>
          <w:rFonts w:ascii="Garamond" w:hAnsi="Garamond"/>
          <w:color w:val="000000" w:themeColor="text1"/>
        </w:rPr>
        <w:t xml:space="preserve">the workplace environment to encourage healthy behaviors by occupants; in turn supporting positive </w:t>
      </w:r>
      <w:r w:rsidR="0020436E" w:rsidRPr="0020436E">
        <w:rPr>
          <w:rFonts w:ascii="Garamond" w:hAnsi="Garamond"/>
          <w:color w:val="000000" w:themeColor="text1"/>
        </w:rPr>
        <w:t xml:space="preserve">health </w:t>
      </w:r>
      <w:r w:rsidR="00191D2F">
        <w:rPr>
          <w:rFonts w:ascii="Garamond" w:hAnsi="Garamond"/>
          <w:color w:val="000000" w:themeColor="text1"/>
        </w:rPr>
        <w:t xml:space="preserve">outcomes </w:t>
      </w:r>
      <w:r w:rsidR="0020436E" w:rsidRPr="0020436E">
        <w:rPr>
          <w:rFonts w:ascii="Garamond" w:hAnsi="Garamond"/>
          <w:color w:val="000000" w:themeColor="text1"/>
        </w:rPr>
        <w:t xml:space="preserve">of the </w:t>
      </w:r>
      <w:r w:rsidR="007363AF">
        <w:rPr>
          <w:rFonts w:ascii="Garamond" w:hAnsi="Garamond"/>
          <w:color w:val="000000" w:themeColor="text1"/>
        </w:rPr>
        <w:t>Federal</w:t>
      </w:r>
      <w:r w:rsidR="0020436E" w:rsidRPr="0020436E">
        <w:rPr>
          <w:rFonts w:ascii="Garamond" w:hAnsi="Garamond"/>
          <w:color w:val="000000" w:themeColor="text1"/>
        </w:rPr>
        <w:t xml:space="preserve"> workforce</w:t>
      </w:r>
      <w:r w:rsidR="00C37903">
        <w:rPr>
          <w:rFonts w:ascii="Garamond" w:hAnsi="Garamond"/>
          <w:color w:val="000000" w:themeColor="text1"/>
        </w:rPr>
        <w:t>.  The private sector looks to GSA for sustainability and environmental direction</w:t>
      </w:r>
      <w:r w:rsidR="001F2727">
        <w:rPr>
          <w:rFonts w:ascii="Garamond" w:hAnsi="Garamond"/>
          <w:color w:val="000000" w:themeColor="text1"/>
        </w:rPr>
        <w:t>,</w:t>
      </w:r>
      <w:r w:rsidR="00C37903">
        <w:rPr>
          <w:rFonts w:ascii="Garamond" w:hAnsi="Garamond"/>
          <w:color w:val="000000" w:themeColor="text1"/>
        </w:rPr>
        <w:t xml:space="preserve"> and </w:t>
      </w:r>
      <w:r w:rsidR="001F2727">
        <w:rPr>
          <w:rFonts w:ascii="Garamond" w:hAnsi="Garamond"/>
          <w:color w:val="000000" w:themeColor="text1"/>
        </w:rPr>
        <w:t xml:space="preserve">GSA making </w:t>
      </w:r>
      <w:r w:rsidR="00C37903">
        <w:rPr>
          <w:rFonts w:ascii="Garamond" w:hAnsi="Garamond"/>
          <w:color w:val="000000" w:themeColor="text1"/>
        </w:rPr>
        <w:t xml:space="preserve">health and wellness a priority will </w:t>
      </w:r>
      <w:r>
        <w:rPr>
          <w:rFonts w:ascii="Garamond" w:hAnsi="Garamond"/>
          <w:color w:val="000000" w:themeColor="text1"/>
        </w:rPr>
        <w:t xml:space="preserve">encourage </w:t>
      </w:r>
      <w:r w:rsidR="0020436E" w:rsidRPr="0020436E">
        <w:rPr>
          <w:rFonts w:ascii="Garamond" w:hAnsi="Garamond"/>
          <w:color w:val="000000" w:themeColor="text1"/>
        </w:rPr>
        <w:t xml:space="preserve">the private sector to </w:t>
      </w:r>
      <w:r>
        <w:rPr>
          <w:rFonts w:ascii="Garamond" w:hAnsi="Garamond"/>
          <w:color w:val="000000" w:themeColor="text1"/>
        </w:rPr>
        <w:t>follow suit</w:t>
      </w:r>
      <w:r w:rsidR="00C37903">
        <w:rPr>
          <w:rFonts w:ascii="Garamond" w:hAnsi="Garamond"/>
          <w:color w:val="000000" w:themeColor="text1"/>
        </w:rPr>
        <w:t xml:space="preserve">. As GSA sets </w:t>
      </w:r>
      <w:r>
        <w:rPr>
          <w:rFonts w:ascii="Garamond" w:hAnsi="Garamond"/>
          <w:color w:val="000000" w:themeColor="text1"/>
        </w:rPr>
        <w:t xml:space="preserve">its </w:t>
      </w:r>
      <w:r w:rsidR="00C37903">
        <w:rPr>
          <w:rFonts w:ascii="Garamond" w:hAnsi="Garamond"/>
          <w:color w:val="000000" w:themeColor="text1"/>
        </w:rPr>
        <w:t xml:space="preserve">future research agenda, there is an opportunity to foster </w:t>
      </w:r>
      <w:r w:rsidR="0020436E" w:rsidRPr="0020436E">
        <w:rPr>
          <w:rFonts w:ascii="Garamond" w:hAnsi="Garamond"/>
          <w:color w:val="000000" w:themeColor="text1"/>
        </w:rPr>
        <w:t xml:space="preserve">additional research </w:t>
      </w:r>
      <w:r w:rsidR="00C37903">
        <w:rPr>
          <w:rFonts w:ascii="Garamond" w:hAnsi="Garamond"/>
          <w:color w:val="000000" w:themeColor="text1"/>
        </w:rPr>
        <w:t xml:space="preserve">that </w:t>
      </w:r>
      <w:r w:rsidR="0020436E" w:rsidRPr="0020436E">
        <w:rPr>
          <w:rFonts w:ascii="Garamond" w:hAnsi="Garamond"/>
          <w:color w:val="000000" w:themeColor="text1"/>
        </w:rPr>
        <w:t>support</w:t>
      </w:r>
      <w:r w:rsidR="00C37903">
        <w:rPr>
          <w:rFonts w:ascii="Garamond" w:hAnsi="Garamond"/>
          <w:color w:val="000000" w:themeColor="text1"/>
        </w:rPr>
        <w:t>s</w:t>
      </w:r>
      <w:r w:rsidR="0020436E" w:rsidRPr="0020436E">
        <w:rPr>
          <w:rFonts w:ascii="Garamond" w:hAnsi="Garamond"/>
          <w:color w:val="000000" w:themeColor="text1"/>
        </w:rPr>
        <w:t xml:space="preserve"> the evolution of this critical effort to improve human health and wellness in the </w:t>
      </w:r>
      <w:r w:rsidR="00A50101">
        <w:rPr>
          <w:rFonts w:ascii="Garamond" w:hAnsi="Garamond"/>
          <w:color w:val="000000" w:themeColor="text1"/>
        </w:rPr>
        <w:t>U.S</w:t>
      </w:r>
      <w:r w:rsidR="0020436E" w:rsidRPr="0020436E">
        <w:rPr>
          <w:rFonts w:ascii="Garamond" w:hAnsi="Garamond"/>
          <w:color w:val="000000" w:themeColor="text1"/>
        </w:rPr>
        <w:t>.</w:t>
      </w:r>
    </w:p>
    <w:p w14:paraId="5CF133B6" w14:textId="77777777" w:rsidR="00360421" w:rsidRDefault="00360421">
      <w:pPr>
        <w:rPr>
          <w:rFonts w:ascii="Garamond" w:hAnsi="Garamond"/>
          <w:color w:val="000000" w:themeColor="text1"/>
        </w:rPr>
      </w:pPr>
    </w:p>
    <w:p w14:paraId="2C59A2D6" w14:textId="7800A542" w:rsidR="00360421" w:rsidRDefault="00360421">
      <w:pPr>
        <w:rPr>
          <w:rFonts w:ascii="Garamond" w:hAnsi="Garamond"/>
          <w:color w:val="000000" w:themeColor="text1"/>
        </w:rPr>
      </w:pPr>
      <w:r>
        <w:rPr>
          <w:rFonts w:ascii="Garamond" w:hAnsi="Garamond"/>
          <w:color w:val="000000" w:themeColor="text1"/>
        </w:rPr>
        <w:lastRenderedPageBreak/>
        <w:t xml:space="preserve">Thank you for your careful consideration of this document and for the opportunity to </w:t>
      </w:r>
      <w:r w:rsidR="00C37903">
        <w:rPr>
          <w:rFonts w:ascii="Garamond" w:hAnsi="Garamond"/>
          <w:color w:val="000000" w:themeColor="text1"/>
        </w:rPr>
        <w:t xml:space="preserve">share </w:t>
      </w:r>
      <w:r w:rsidR="00A66C1B">
        <w:rPr>
          <w:rFonts w:ascii="Garamond" w:hAnsi="Garamond"/>
          <w:color w:val="000000" w:themeColor="text1"/>
        </w:rPr>
        <w:t>these important</w:t>
      </w:r>
      <w:r>
        <w:rPr>
          <w:rFonts w:ascii="Garamond" w:hAnsi="Garamond"/>
          <w:color w:val="000000" w:themeColor="text1"/>
        </w:rPr>
        <w:t xml:space="preserve"> </w:t>
      </w:r>
      <w:r w:rsidR="00C37903">
        <w:rPr>
          <w:rFonts w:ascii="Garamond" w:hAnsi="Garamond"/>
          <w:color w:val="000000" w:themeColor="text1"/>
        </w:rPr>
        <w:t>recommendations</w:t>
      </w:r>
      <w:r>
        <w:rPr>
          <w:rFonts w:ascii="Garamond" w:hAnsi="Garamond"/>
          <w:color w:val="000000" w:themeColor="text1"/>
        </w:rPr>
        <w:t>. On behalf of the Advisory Committee</w:t>
      </w:r>
      <w:r w:rsidR="00C37903">
        <w:rPr>
          <w:rFonts w:ascii="Garamond" w:hAnsi="Garamond"/>
          <w:color w:val="000000" w:themeColor="text1"/>
        </w:rPr>
        <w:t xml:space="preserve"> and the Health and Wellness Task Group</w:t>
      </w:r>
      <w:r>
        <w:rPr>
          <w:rFonts w:ascii="Garamond" w:hAnsi="Garamond"/>
          <w:color w:val="000000" w:themeColor="text1"/>
        </w:rPr>
        <w:t xml:space="preserve">, </w:t>
      </w:r>
      <w:r w:rsidR="006126FC">
        <w:rPr>
          <w:rFonts w:ascii="Garamond" w:hAnsi="Garamond"/>
          <w:color w:val="000000" w:themeColor="text1"/>
        </w:rPr>
        <w:t xml:space="preserve">we </w:t>
      </w:r>
      <w:r>
        <w:rPr>
          <w:rFonts w:ascii="Garamond" w:hAnsi="Garamond"/>
          <w:color w:val="000000" w:themeColor="text1"/>
        </w:rPr>
        <w:t>respectfully submit these recommendations for your consideration.</w:t>
      </w:r>
    </w:p>
    <w:p w14:paraId="05C8BDCB" w14:textId="77777777" w:rsidR="00360421" w:rsidRDefault="00360421">
      <w:pPr>
        <w:rPr>
          <w:rFonts w:ascii="Garamond" w:hAnsi="Garamond"/>
          <w:color w:val="000000" w:themeColor="text1"/>
        </w:rPr>
      </w:pPr>
    </w:p>
    <w:p w14:paraId="0125C441" w14:textId="77777777" w:rsidR="00360421" w:rsidRDefault="00360421">
      <w:pPr>
        <w:rPr>
          <w:rFonts w:ascii="Garamond" w:hAnsi="Garamond"/>
          <w:color w:val="000000" w:themeColor="text1"/>
        </w:rPr>
      </w:pPr>
      <w:r>
        <w:rPr>
          <w:rFonts w:ascii="Garamond" w:hAnsi="Garamond"/>
          <w:color w:val="000000" w:themeColor="text1"/>
        </w:rPr>
        <w:t>Sincerely,</w:t>
      </w:r>
    </w:p>
    <w:p w14:paraId="20E6AB3C" w14:textId="77777777" w:rsidR="00360421" w:rsidRDefault="00360421">
      <w:pPr>
        <w:rPr>
          <w:rFonts w:ascii="Garamond" w:hAnsi="Garamond"/>
          <w:color w:val="000000" w:themeColor="text1"/>
        </w:rPr>
      </w:pPr>
    </w:p>
    <w:p w14:paraId="4C43EA6C" w14:textId="77777777" w:rsidR="00360421" w:rsidRDefault="00360421">
      <w:pPr>
        <w:rPr>
          <w:rFonts w:ascii="Garamond" w:hAnsi="Garamond"/>
          <w:color w:val="000000" w:themeColor="text1"/>
        </w:rPr>
      </w:pPr>
    </w:p>
    <w:p w14:paraId="64851D77" w14:textId="77777777" w:rsidR="00360421" w:rsidRDefault="00360421">
      <w:pPr>
        <w:rPr>
          <w:rFonts w:ascii="Garamond" w:hAnsi="Garamond"/>
          <w:color w:val="000000" w:themeColor="text1"/>
        </w:rPr>
      </w:pPr>
      <w:r>
        <w:rPr>
          <w:rFonts w:ascii="Garamond" w:hAnsi="Garamond"/>
          <w:color w:val="000000" w:themeColor="text1"/>
        </w:rPr>
        <w:t>Greg Kats</w:t>
      </w:r>
    </w:p>
    <w:p w14:paraId="61C859DC" w14:textId="77777777" w:rsidR="00360421" w:rsidRDefault="00360421">
      <w:pPr>
        <w:rPr>
          <w:rFonts w:ascii="Garamond" w:hAnsi="Garamond"/>
          <w:color w:val="000000" w:themeColor="text1"/>
        </w:rPr>
      </w:pPr>
      <w:r>
        <w:rPr>
          <w:rFonts w:ascii="Garamond" w:hAnsi="Garamond"/>
          <w:color w:val="000000" w:themeColor="text1"/>
        </w:rPr>
        <w:t>Chair, GSA Green Building Advisory Committee</w:t>
      </w:r>
    </w:p>
    <w:p w14:paraId="7CD13210" w14:textId="77777777" w:rsidR="0057142B" w:rsidRDefault="0057142B">
      <w:pPr>
        <w:rPr>
          <w:rFonts w:ascii="Garamond" w:hAnsi="Garamond"/>
          <w:color w:val="000000" w:themeColor="text1"/>
        </w:rPr>
      </w:pPr>
    </w:p>
    <w:p w14:paraId="160C2441" w14:textId="2D5A2ED4" w:rsidR="0057142B" w:rsidRDefault="0057142B" w:rsidP="00AF76E7">
      <w:pPr>
        <w:tabs>
          <w:tab w:val="left" w:pos="5040"/>
        </w:tabs>
        <w:rPr>
          <w:rFonts w:ascii="Garamond" w:hAnsi="Garamond"/>
          <w:color w:val="000000" w:themeColor="text1"/>
        </w:rPr>
      </w:pPr>
      <w:r>
        <w:rPr>
          <w:rFonts w:ascii="Garamond" w:hAnsi="Garamond"/>
          <w:color w:val="000000" w:themeColor="text1"/>
        </w:rPr>
        <w:t>Jane Rohde</w:t>
      </w:r>
      <w:r w:rsidR="00AF76E7">
        <w:rPr>
          <w:rFonts w:ascii="Garamond" w:hAnsi="Garamond"/>
          <w:color w:val="000000" w:themeColor="text1"/>
        </w:rPr>
        <w:tab/>
      </w:r>
      <w:r>
        <w:rPr>
          <w:rFonts w:ascii="Garamond" w:hAnsi="Garamond"/>
          <w:color w:val="000000" w:themeColor="text1"/>
        </w:rPr>
        <w:t>Chris Garvin</w:t>
      </w:r>
    </w:p>
    <w:p w14:paraId="32D098E4" w14:textId="7312B740" w:rsidR="0057142B" w:rsidRDefault="0057142B" w:rsidP="00AF76E7">
      <w:pPr>
        <w:tabs>
          <w:tab w:val="left" w:pos="5040"/>
        </w:tabs>
        <w:rPr>
          <w:rFonts w:ascii="Garamond" w:hAnsi="Garamond"/>
          <w:color w:val="000000" w:themeColor="text1"/>
        </w:rPr>
      </w:pPr>
      <w:r>
        <w:rPr>
          <w:rFonts w:ascii="Garamond" w:hAnsi="Garamond"/>
          <w:color w:val="000000" w:themeColor="text1"/>
        </w:rPr>
        <w:t>Co-Chair</w:t>
      </w:r>
      <w:r>
        <w:rPr>
          <w:rFonts w:ascii="Garamond" w:hAnsi="Garamond"/>
          <w:color w:val="000000" w:themeColor="text1"/>
        </w:rPr>
        <w:tab/>
        <w:t>Co-Chair</w:t>
      </w:r>
    </w:p>
    <w:p w14:paraId="28AEC853" w14:textId="0D7D90EA" w:rsidR="009C2806" w:rsidRDefault="0057142B" w:rsidP="00AF76E7">
      <w:pPr>
        <w:tabs>
          <w:tab w:val="left" w:pos="5040"/>
        </w:tabs>
        <w:rPr>
          <w:rFonts w:ascii="Garamond" w:hAnsi="Garamond"/>
          <w:color w:val="000000" w:themeColor="text1"/>
        </w:rPr>
      </w:pPr>
      <w:r>
        <w:rPr>
          <w:rFonts w:ascii="Garamond" w:hAnsi="Garamond"/>
          <w:color w:val="000000" w:themeColor="text1"/>
        </w:rPr>
        <w:t>Health &amp; Wellness Task Group</w:t>
      </w:r>
      <w:r>
        <w:rPr>
          <w:rFonts w:ascii="Garamond" w:hAnsi="Garamond"/>
          <w:color w:val="000000" w:themeColor="text1"/>
        </w:rPr>
        <w:tab/>
      </w:r>
      <w:r w:rsidR="00AF76E7">
        <w:rPr>
          <w:rFonts w:ascii="Garamond" w:hAnsi="Garamond"/>
          <w:color w:val="000000" w:themeColor="text1"/>
        </w:rPr>
        <w:t>H</w:t>
      </w:r>
      <w:r>
        <w:rPr>
          <w:rFonts w:ascii="Garamond" w:hAnsi="Garamond"/>
          <w:color w:val="000000" w:themeColor="text1"/>
        </w:rPr>
        <w:t>ealth &amp; Wellness Task Group</w:t>
      </w:r>
      <w:bookmarkStart w:id="0" w:name="_GoBack"/>
    </w:p>
    <w:p w14:paraId="6477ED56" w14:textId="77777777" w:rsidR="009C2806" w:rsidRDefault="009C2806">
      <w:pPr>
        <w:rPr>
          <w:rFonts w:ascii="Garamond" w:hAnsi="Garamond"/>
          <w:color w:val="000000" w:themeColor="text1"/>
        </w:rPr>
      </w:pPr>
    </w:p>
    <w:p w14:paraId="7860A2C6" w14:textId="77777777" w:rsidR="009C2806" w:rsidRDefault="009C2806">
      <w:pPr>
        <w:rPr>
          <w:rFonts w:ascii="Garamond" w:hAnsi="Garamond"/>
          <w:color w:val="000000" w:themeColor="text1"/>
        </w:rPr>
      </w:pPr>
    </w:p>
    <w:p w14:paraId="2E51731A" w14:textId="77777777" w:rsidR="009C2806" w:rsidRDefault="009C2806">
      <w:pPr>
        <w:rPr>
          <w:rFonts w:ascii="Garamond" w:hAnsi="Garamond"/>
          <w:color w:val="000000" w:themeColor="text1"/>
        </w:rPr>
      </w:pPr>
    </w:p>
    <w:p w14:paraId="05B978F3" w14:textId="77777777" w:rsidR="009C2806" w:rsidRDefault="009C2806">
      <w:pPr>
        <w:rPr>
          <w:rFonts w:ascii="Garamond" w:hAnsi="Garamond"/>
          <w:color w:val="000000" w:themeColor="text1"/>
        </w:rPr>
      </w:pPr>
    </w:p>
    <w:bookmarkEnd w:id="0"/>
    <w:p w14:paraId="483D3169" w14:textId="77777777" w:rsidR="009C2806" w:rsidRPr="009C2806" w:rsidRDefault="009C2806" w:rsidP="00A03DB7">
      <w:pPr>
        <w:pStyle w:val="Heading1"/>
      </w:pPr>
      <w:r w:rsidRPr="009C2806">
        <w:t>TASK GROUP MEMBERS</w:t>
      </w:r>
    </w:p>
    <w:p w14:paraId="6E9D68E6" w14:textId="77777777" w:rsidR="009C2806" w:rsidRPr="009C2806" w:rsidRDefault="009C2806" w:rsidP="009C2806">
      <w:pPr>
        <w:rPr>
          <w:rFonts w:ascii="Garamond" w:hAnsi="Garamond"/>
          <w:b/>
          <w:color w:val="000000" w:themeColor="text1"/>
        </w:rPr>
      </w:pPr>
      <w:r w:rsidRPr="009C2806">
        <w:rPr>
          <w:rFonts w:ascii="Garamond" w:hAnsi="Garamond"/>
          <w:b/>
          <w:color w:val="000000" w:themeColor="text1"/>
        </w:rPr>
        <w:t>Co-Chairs</w:t>
      </w:r>
    </w:p>
    <w:p w14:paraId="27CE4501" w14:textId="77777777" w:rsidR="009C2806" w:rsidRPr="009C2806" w:rsidRDefault="009C2806" w:rsidP="009C2806">
      <w:pPr>
        <w:rPr>
          <w:rFonts w:ascii="Garamond" w:hAnsi="Garamond"/>
          <w:b/>
          <w:color w:val="000000" w:themeColor="text1"/>
        </w:rPr>
      </w:pPr>
      <w:r w:rsidRPr="009C2806">
        <w:rPr>
          <w:rFonts w:ascii="Garamond" w:hAnsi="Garamond"/>
          <w:color w:val="000000" w:themeColor="text1"/>
        </w:rPr>
        <w:t>Jane Rohde, JSR Associates, Co-Chair; Chris Garvin, Terrapin Bright Green, Co-Chair</w:t>
      </w:r>
    </w:p>
    <w:p w14:paraId="2F39FE2C" w14:textId="77777777" w:rsidR="009C2806" w:rsidRPr="009C2806" w:rsidRDefault="009C2806" w:rsidP="009C2806">
      <w:pPr>
        <w:rPr>
          <w:rFonts w:ascii="Garamond" w:hAnsi="Garamond"/>
          <w:b/>
          <w:color w:val="000000" w:themeColor="text1"/>
        </w:rPr>
      </w:pPr>
    </w:p>
    <w:p w14:paraId="5ED8AA69" w14:textId="77777777" w:rsidR="009C2806" w:rsidRPr="009C2806" w:rsidRDefault="009C2806" w:rsidP="009C2806">
      <w:pPr>
        <w:rPr>
          <w:rFonts w:ascii="Garamond" w:hAnsi="Garamond"/>
          <w:b/>
          <w:color w:val="000000" w:themeColor="text1"/>
        </w:rPr>
      </w:pPr>
      <w:r w:rsidRPr="009C2806">
        <w:rPr>
          <w:rFonts w:ascii="Garamond" w:hAnsi="Garamond"/>
          <w:b/>
          <w:color w:val="000000" w:themeColor="text1"/>
        </w:rPr>
        <w:t>Committee members and designees</w:t>
      </w:r>
    </w:p>
    <w:p w14:paraId="390E6279" w14:textId="77777777" w:rsidR="009C2806" w:rsidRPr="009C2806" w:rsidRDefault="009C2806" w:rsidP="009C2806">
      <w:pPr>
        <w:rPr>
          <w:rFonts w:ascii="Garamond" w:hAnsi="Garamond"/>
          <w:color w:val="000000" w:themeColor="text1"/>
        </w:rPr>
      </w:pPr>
      <w:r w:rsidRPr="009C2806">
        <w:rPr>
          <w:rFonts w:ascii="Garamond" w:hAnsi="Garamond"/>
          <w:color w:val="000000" w:themeColor="text1"/>
        </w:rPr>
        <w:t xml:space="preserve">Charlene Bayer, Hygieia Sciences; Dave Gibson, EPA; Brad Gustafson, DOE; </w:t>
      </w:r>
    </w:p>
    <w:p w14:paraId="77E49E1C" w14:textId="77777777" w:rsidR="009C2806" w:rsidRPr="009C2806" w:rsidRDefault="009C2806" w:rsidP="009C2806">
      <w:pPr>
        <w:rPr>
          <w:rFonts w:ascii="Garamond" w:hAnsi="Garamond"/>
          <w:color w:val="000000" w:themeColor="text1"/>
        </w:rPr>
      </w:pPr>
      <w:r w:rsidRPr="009C2806">
        <w:rPr>
          <w:rFonts w:ascii="Garamond" w:hAnsi="Garamond"/>
          <w:color w:val="000000" w:themeColor="text1"/>
        </w:rPr>
        <w:t>Jonathan Herz, HHS; Aidan Ganzert, Joel Kimmons, Liz York, HHS/CDC; Michael Myers, AST (for DOE); Brendan Owens, USGBC; Andrew Persily, NIST; Cyndi Vallina, OMB</w:t>
      </w:r>
    </w:p>
    <w:p w14:paraId="1892966E" w14:textId="77777777" w:rsidR="009C2806" w:rsidRPr="009C2806" w:rsidRDefault="009C2806" w:rsidP="009C2806">
      <w:pPr>
        <w:rPr>
          <w:rFonts w:ascii="Garamond" w:hAnsi="Garamond"/>
          <w:color w:val="000000" w:themeColor="text1"/>
        </w:rPr>
      </w:pPr>
    </w:p>
    <w:p w14:paraId="4AA1AFFC" w14:textId="77777777" w:rsidR="009C2806" w:rsidRPr="009C2806" w:rsidRDefault="009C2806" w:rsidP="009C2806">
      <w:pPr>
        <w:rPr>
          <w:rFonts w:ascii="Garamond" w:hAnsi="Garamond"/>
          <w:color w:val="000000" w:themeColor="text1"/>
        </w:rPr>
      </w:pPr>
      <w:r w:rsidRPr="009C2806">
        <w:rPr>
          <w:rFonts w:ascii="Garamond" w:hAnsi="Garamond"/>
          <w:b/>
          <w:color w:val="000000" w:themeColor="text1"/>
        </w:rPr>
        <w:t>GSA</w:t>
      </w:r>
    </w:p>
    <w:p w14:paraId="37E92EF7" w14:textId="77777777" w:rsidR="009C2806" w:rsidRPr="009C2806" w:rsidRDefault="009C2806" w:rsidP="009C2806">
      <w:pPr>
        <w:rPr>
          <w:rFonts w:ascii="Garamond" w:hAnsi="Garamond"/>
          <w:color w:val="000000" w:themeColor="text1"/>
        </w:rPr>
      </w:pPr>
      <w:r w:rsidRPr="009C2806">
        <w:rPr>
          <w:rFonts w:ascii="Garamond" w:hAnsi="Garamond"/>
          <w:color w:val="000000" w:themeColor="text1"/>
        </w:rPr>
        <w:t>Denise Funkhouser, Alexandra Kosmides, PBS</w:t>
      </w:r>
    </w:p>
    <w:p w14:paraId="07BB7A19" w14:textId="77777777" w:rsidR="009C2806" w:rsidRPr="009C2806" w:rsidRDefault="009C2806" w:rsidP="009C2806">
      <w:pPr>
        <w:rPr>
          <w:rFonts w:ascii="Garamond" w:hAnsi="Garamond"/>
          <w:color w:val="000000" w:themeColor="text1"/>
        </w:rPr>
      </w:pPr>
      <w:r w:rsidRPr="009C2806">
        <w:rPr>
          <w:rFonts w:ascii="Garamond" w:hAnsi="Garamond"/>
          <w:color w:val="000000" w:themeColor="text1"/>
        </w:rPr>
        <w:t>Kevin Kampschroer, Michael Bloom, Judith Heerwagen, Don Horn, Bryan Steverson, OFHPB</w:t>
      </w:r>
    </w:p>
    <w:p w14:paraId="3E47C5AF" w14:textId="77777777" w:rsidR="009C2806" w:rsidRPr="009C2806" w:rsidRDefault="009C2806" w:rsidP="009C2806">
      <w:pPr>
        <w:rPr>
          <w:rFonts w:ascii="Garamond" w:hAnsi="Garamond"/>
          <w:color w:val="000000" w:themeColor="text1"/>
        </w:rPr>
      </w:pPr>
    </w:p>
    <w:p w14:paraId="627791AE" w14:textId="53C825E8" w:rsidR="009C2806" w:rsidRPr="009C2806" w:rsidRDefault="004C53ED" w:rsidP="009C2806">
      <w:pPr>
        <w:rPr>
          <w:rFonts w:ascii="Garamond" w:hAnsi="Garamond"/>
          <w:b/>
          <w:color w:val="000000" w:themeColor="text1"/>
        </w:rPr>
      </w:pPr>
      <w:r>
        <w:rPr>
          <w:rFonts w:ascii="Garamond" w:hAnsi="Garamond"/>
          <w:b/>
          <w:color w:val="000000" w:themeColor="text1"/>
        </w:rPr>
        <w:t>Additional</w:t>
      </w:r>
      <w:r w:rsidR="009C2806" w:rsidRPr="009C2806">
        <w:rPr>
          <w:rFonts w:ascii="Garamond" w:hAnsi="Garamond"/>
          <w:b/>
          <w:color w:val="000000" w:themeColor="text1"/>
        </w:rPr>
        <w:t xml:space="preserve"> Observers</w:t>
      </w:r>
    </w:p>
    <w:p w14:paraId="201CA883" w14:textId="77777777" w:rsidR="009C2806" w:rsidRPr="009C2806" w:rsidRDefault="009C2806" w:rsidP="009C2806">
      <w:pPr>
        <w:rPr>
          <w:rFonts w:ascii="Garamond" w:hAnsi="Garamond"/>
          <w:color w:val="000000" w:themeColor="text1"/>
        </w:rPr>
      </w:pPr>
      <w:r w:rsidRPr="009C2806">
        <w:rPr>
          <w:rFonts w:ascii="Garamond" w:hAnsi="Garamond"/>
          <w:color w:val="000000" w:themeColor="text1"/>
        </w:rPr>
        <w:t>Cristina Schulingkamp, EPA; Dave Walls, ICC; Michelle Martin, IWBI; Todd Sims, ACC</w:t>
      </w:r>
    </w:p>
    <w:p w14:paraId="5E2C41E2" w14:textId="5447E062" w:rsidR="00360421" w:rsidRDefault="00360421">
      <w:pPr>
        <w:rPr>
          <w:rFonts w:ascii="Garamond" w:hAnsi="Garamond"/>
          <w:color w:val="000000" w:themeColor="text1"/>
        </w:rPr>
      </w:pPr>
      <w:r>
        <w:rPr>
          <w:rFonts w:ascii="Garamond" w:hAnsi="Garamond"/>
          <w:color w:val="000000" w:themeColor="text1"/>
        </w:rPr>
        <w:br w:type="page"/>
      </w:r>
    </w:p>
    <w:p w14:paraId="4B913C47" w14:textId="417B7E6E" w:rsidR="00796AD8" w:rsidRDefault="00796AD8" w:rsidP="00A03DB7">
      <w:pPr>
        <w:pStyle w:val="Heading1"/>
      </w:pPr>
      <w:r w:rsidRPr="00EA7E1C">
        <w:lastRenderedPageBreak/>
        <w:t>List of Appendices</w:t>
      </w:r>
      <w:r>
        <w:t>:</w:t>
      </w:r>
    </w:p>
    <w:p w14:paraId="1DC2491C" w14:textId="77777777" w:rsidR="00796AD8" w:rsidRDefault="00796AD8">
      <w:pPr>
        <w:rPr>
          <w:rFonts w:ascii="Garamond" w:hAnsi="Garamond"/>
          <w:b/>
          <w:color w:val="000000" w:themeColor="text1"/>
        </w:rPr>
      </w:pPr>
    </w:p>
    <w:p w14:paraId="39AE11D6" w14:textId="15270437" w:rsidR="00796AD8" w:rsidRDefault="00796AD8">
      <w:pPr>
        <w:rPr>
          <w:rFonts w:ascii="Garamond" w:hAnsi="Garamond"/>
          <w:b/>
          <w:color w:val="000000" w:themeColor="text1"/>
        </w:rPr>
      </w:pPr>
      <w:r w:rsidRPr="00796AD8">
        <w:rPr>
          <w:rFonts w:ascii="Garamond" w:hAnsi="Garamond"/>
          <w:b/>
          <w:color w:val="000000" w:themeColor="text1"/>
        </w:rPr>
        <w:t>Appendix A: Guidance Crosswalk</w:t>
      </w:r>
    </w:p>
    <w:p w14:paraId="65EF0A58" w14:textId="4D5987C4" w:rsidR="00796AD8" w:rsidRDefault="00796AD8">
      <w:pPr>
        <w:rPr>
          <w:rFonts w:ascii="Garamond" w:hAnsi="Garamond"/>
          <w:b/>
          <w:color w:val="000000" w:themeColor="text1"/>
        </w:rPr>
      </w:pPr>
      <w:r w:rsidRPr="00796AD8">
        <w:rPr>
          <w:rFonts w:ascii="Garamond" w:hAnsi="Garamond"/>
          <w:b/>
          <w:color w:val="000000" w:themeColor="text1"/>
        </w:rPr>
        <w:t>Appendix B: Matrices of Credits Offered Under Fitwel and the WELL Building Standard</w:t>
      </w:r>
    </w:p>
    <w:p w14:paraId="1E6CB660" w14:textId="6A0F9FFB" w:rsidR="00796AD8" w:rsidRDefault="00796AD8">
      <w:pPr>
        <w:rPr>
          <w:rFonts w:ascii="Garamond" w:hAnsi="Garamond"/>
          <w:b/>
          <w:color w:val="000000" w:themeColor="text1"/>
        </w:rPr>
      </w:pPr>
      <w:r w:rsidRPr="00796AD8">
        <w:rPr>
          <w:rFonts w:ascii="Garamond" w:hAnsi="Garamond"/>
          <w:b/>
          <w:color w:val="000000" w:themeColor="text1"/>
        </w:rPr>
        <w:t>Appendix C: Integrative Design Process for Health and Wellness</w:t>
      </w:r>
    </w:p>
    <w:p w14:paraId="27632DD5" w14:textId="5718CE87" w:rsidR="00796AD8" w:rsidRPr="00796AD8" w:rsidRDefault="00796AD8" w:rsidP="00796AD8">
      <w:pPr>
        <w:rPr>
          <w:rFonts w:ascii="Garamond" w:hAnsi="Garamond"/>
          <w:b/>
          <w:color w:val="000000" w:themeColor="text1"/>
        </w:rPr>
      </w:pPr>
      <w:r w:rsidRPr="00796AD8">
        <w:rPr>
          <w:rFonts w:ascii="Garamond" w:hAnsi="Garamond"/>
          <w:b/>
          <w:color w:val="000000" w:themeColor="text1"/>
        </w:rPr>
        <w:t xml:space="preserve">Appendix D: Measuring Health and Wellness: Social and Sustainable Return on Investment </w:t>
      </w:r>
    </w:p>
    <w:p w14:paraId="14D9689B" w14:textId="52221BE7" w:rsidR="00796AD8" w:rsidRDefault="00796AD8" w:rsidP="00796AD8">
      <w:pPr>
        <w:rPr>
          <w:rFonts w:ascii="Garamond" w:hAnsi="Garamond"/>
          <w:b/>
          <w:color w:val="000000" w:themeColor="text1"/>
        </w:rPr>
      </w:pPr>
      <w:r w:rsidRPr="00796AD8">
        <w:rPr>
          <w:rFonts w:ascii="Garamond" w:hAnsi="Garamond"/>
          <w:b/>
          <w:color w:val="000000" w:themeColor="text1"/>
        </w:rPr>
        <w:t>Appendix E: Additional Health and Wellness Resources</w:t>
      </w:r>
    </w:p>
    <w:p w14:paraId="6DB7EA22" w14:textId="77777777" w:rsidR="00796AD8" w:rsidRDefault="00796AD8" w:rsidP="00796AD8">
      <w:pPr>
        <w:rPr>
          <w:rFonts w:ascii="Garamond" w:hAnsi="Garamond"/>
          <w:b/>
          <w:color w:val="000000" w:themeColor="text1"/>
        </w:rPr>
      </w:pPr>
    </w:p>
    <w:p w14:paraId="359AEF2A" w14:textId="77777777" w:rsidR="004C53ED" w:rsidRDefault="004C53ED" w:rsidP="00796AD8">
      <w:pPr>
        <w:rPr>
          <w:rFonts w:ascii="Garamond" w:hAnsi="Garamond"/>
          <w:b/>
          <w:color w:val="000000" w:themeColor="text1"/>
        </w:rPr>
      </w:pPr>
    </w:p>
    <w:p w14:paraId="40631EA1" w14:textId="77777777" w:rsidR="004C53ED" w:rsidRDefault="004C53ED" w:rsidP="00796AD8">
      <w:pPr>
        <w:rPr>
          <w:rFonts w:ascii="Garamond" w:hAnsi="Garamond"/>
          <w:b/>
          <w:color w:val="000000" w:themeColor="text1"/>
        </w:rPr>
      </w:pPr>
    </w:p>
    <w:p w14:paraId="689C72F6" w14:textId="781CB20E" w:rsidR="0020436E" w:rsidRDefault="00360421" w:rsidP="00A03DB7">
      <w:pPr>
        <w:pStyle w:val="Heading2"/>
      </w:pPr>
      <w:r w:rsidRPr="00712957">
        <w:t>Appendix A:</w:t>
      </w:r>
      <w:r w:rsidR="00CA4615" w:rsidRPr="00712957">
        <w:t xml:space="preserve"> </w:t>
      </w:r>
      <w:r w:rsidR="00026872" w:rsidRPr="00712957">
        <w:t xml:space="preserve">Guidance </w:t>
      </w:r>
      <w:r w:rsidR="0020436E" w:rsidRPr="00712957">
        <w:t>Crosswalk</w:t>
      </w:r>
      <w:r w:rsidR="00191D2F" w:rsidRPr="00712957">
        <w:t xml:space="preserve"> </w:t>
      </w:r>
    </w:p>
    <w:p w14:paraId="444AAAB4" w14:textId="77777777" w:rsidR="003E3D13" w:rsidRDefault="003E3D13">
      <w:pPr>
        <w:rPr>
          <w:rFonts w:ascii="Garamond" w:hAnsi="Garamond"/>
          <w:b/>
          <w:color w:val="000000" w:themeColor="text1"/>
        </w:rPr>
      </w:pPr>
    </w:p>
    <w:p w14:paraId="32A613B4" w14:textId="75EA2898" w:rsidR="008C7B53" w:rsidRDefault="001C44F3">
      <w:pPr>
        <w:rPr>
          <w:rFonts w:ascii="Garamond" w:hAnsi="Garamond"/>
          <w:color w:val="000000" w:themeColor="text1"/>
        </w:rPr>
      </w:pPr>
      <w:r>
        <w:rPr>
          <w:rFonts w:ascii="Garamond" w:hAnsi="Garamond"/>
          <w:color w:val="000000" w:themeColor="text1"/>
        </w:rPr>
        <w:t>Please see embedded document</w:t>
      </w:r>
      <w:r w:rsidR="00DA2B9A">
        <w:rPr>
          <w:rFonts w:ascii="Garamond" w:hAnsi="Garamond"/>
          <w:color w:val="000000" w:themeColor="text1"/>
        </w:rPr>
        <w:t xml:space="preserve"> (in PDF and</w:t>
      </w:r>
      <w:r w:rsidR="00DA2B9A" w:rsidRPr="00DA2B9A">
        <w:rPr>
          <w:rFonts w:ascii="Garamond" w:hAnsi="Garamond"/>
          <w:color w:val="000000" w:themeColor="text1"/>
        </w:rPr>
        <w:t xml:space="preserve"> </w:t>
      </w:r>
      <w:r w:rsidR="00DA2B9A">
        <w:rPr>
          <w:rFonts w:ascii="Garamond" w:hAnsi="Garamond"/>
          <w:color w:val="000000" w:themeColor="text1"/>
        </w:rPr>
        <w:t>Excel)</w:t>
      </w:r>
      <w:r>
        <w:rPr>
          <w:rFonts w:ascii="Garamond" w:hAnsi="Garamond"/>
          <w:color w:val="000000" w:themeColor="text1"/>
        </w:rPr>
        <w:t>:</w:t>
      </w:r>
    </w:p>
    <w:p w14:paraId="4EBEE98D" w14:textId="0445FE7A" w:rsidR="008C7B53" w:rsidRDefault="00DA2B9A" w:rsidP="008C7B53">
      <w:pPr>
        <w:keepNext/>
      </w:pPr>
      <w:r>
        <w:object w:dxaOrig="1513" w:dyaOrig="973" w14:anchorId="59728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23" o:title=""/>
          </v:shape>
          <o:OLEObject Type="Embed" ProgID="AcroExch.Document.11" ShapeID="_x0000_i1025" DrawAspect="Icon" ObjectID="_1575031609" r:id="rId24"/>
        </w:object>
      </w:r>
      <w:r>
        <w:object w:dxaOrig="1513" w:dyaOrig="973" w14:anchorId="1A52D5F5">
          <v:shape id="_x0000_i1026" type="#_x0000_t75" style="width:75.75pt;height:48.75pt" o:ole="">
            <v:imagedata r:id="rId25" o:title=""/>
          </v:shape>
          <o:OLEObject Type="Embed" ProgID="Excel.Sheet.12" ShapeID="_x0000_i1026" DrawAspect="Icon" ObjectID="_1575031610" r:id="rId26"/>
        </w:object>
      </w:r>
    </w:p>
    <w:p w14:paraId="7F83906E" w14:textId="394B6419" w:rsidR="003E3D13" w:rsidRPr="00712957" w:rsidRDefault="008C7B53" w:rsidP="008C7B53">
      <w:pPr>
        <w:pStyle w:val="Caption"/>
        <w:rPr>
          <w:rFonts w:ascii="Garamond" w:hAnsi="Garamond"/>
          <w:b w:val="0"/>
          <w:color w:val="000000" w:themeColor="text1"/>
        </w:rPr>
      </w:pPr>
      <w:r w:rsidRPr="00E86547">
        <w:t>Crosswalk Guidance Criteria for Existing Buildings</w:t>
      </w:r>
    </w:p>
    <w:p w14:paraId="1269D098" w14:textId="77777777" w:rsidR="0020436E" w:rsidRPr="00712957" w:rsidRDefault="0020436E">
      <w:pPr>
        <w:rPr>
          <w:rFonts w:ascii="Garamond" w:hAnsi="Garamond"/>
          <w:b/>
          <w:color w:val="000000" w:themeColor="text1"/>
        </w:rPr>
      </w:pPr>
    </w:p>
    <w:p w14:paraId="62E869B2" w14:textId="2376F2DC" w:rsidR="00360421" w:rsidRDefault="0020436E" w:rsidP="00A03DB7">
      <w:pPr>
        <w:pStyle w:val="Heading2"/>
      </w:pPr>
      <w:r w:rsidRPr="00712957">
        <w:t xml:space="preserve">Appendix B: </w:t>
      </w:r>
      <w:bookmarkStart w:id="1" w:name="_Hlk496179337"/>
      <w:r w:rsidR="009F1B2D" w:rsidRPr="00712957">
        <w:t xml:space="preserve">Matrices of Credits Offered Under </w:t>
      </w:r>
      <w:r w:rsidR="00CA4615" w:rsidRPr="00712957">
        <w:t xml:space="preserve">Fitwel and </w:t>
      </w:r>
      <w:r w:rsidR="00D95C22" w:rsidRPr="00712957">
        <w:t xml:space="preserve">the </w:t>
      </w:r>
      <w:r w:rsidR="00CA4615" w:rsidRPr="00712957">
        <w:t>WELL</w:t>
      </w:r>
      <w:r w:rsidR="00D95C22" w:rsidRPr="00712957">
        <w:t xml:space="preserve"> Building Standard</w:t>
      </w:r>
    </w:p>
    <w:p w14:paraId="52AFD153" w14:textId="77777777" w:rsidR="003E3D13" w:rsidRDefault="003E3D13">
      <w:pPr>
        <w:rPr>
          <w:rFonts w:ascii="Garamond" w:hAnsi="Garamond"/>
          <w:b/>
          <w:color w:val="000000" w:themeColor="text1"/>
        </w:rPr>
      </w:pPr>
    </w:p>
    <w:p w14:paraId="44AF14C6" w14:textId="77777777" w:rsidR="008C7B53" w:rsidRDefault="001C44F3" w:rsidP="00975DFD">
      <w:pPr>
        <w:keepNext/>
        <w:rPr>
          <w:rFonts w:ascii="Garamond" w:hAnsi="Garamond"/>
          <w:color w:val="000000" w:themeColor="text1"/>
        </w:rPr>
      </w:pPr>
      <w:r w:rsidRPr="001C44F3">
        <w:rPr>
          <w:rFonts w:ascii="Garamond" w:hAnsi="Garamond"/>
          <w:color w:val="000000" w:themeColor="text1"/>
        </w:rPr>
        <w:t>Please see embedded documents:</w:t>
      </w:r>
    </w:p>
    <w:p w14:paraId="5595E61E" w14:textId="4FECC012" w:rsidR="00975DFD" w:rsidRDefault="005E18B5" w:rsidP="00975DFD">
      <w:pPr>
        <w:keepNext/>
      </w:pPr>
      <w:r>
        <w:object w:dxaOrig="1534" w:dyaOrig="994" w14:anchorId="099EF1BE">
          <v:shape id="_x0000_i1027" type="#_x0000_t75" style="width:76.5pt;height:49.5pt" o:ole="">
            <v:imagedata r:id="rId27" o:title=""/>
          </v:shape>
          <o:OLEObject Type="Embed" ProgID="AcroExch.Document.11" ShapeID="_x0000_i1027" DrawAspect="Icon" ObjectID="_1575031611" r:id="rId28"/>
        </w:object>
      </w:r>
    </w:p>
    <w:p w14:paraId="72A9E4C9" w14:textId="1D6B82F6" w:rsidR="00975DFD" w:rsidRDefault="00975DFD" w:rsidP="00975DFD">
      <w:pPr>
        <w:pStyle w:val="Caption"/>
      </w:pPr>
      <w:r>
        <w:t xml:space="preserve">Fitwel </w:t>
      </w:r>
      <w:r w:rsidR="008C7B53">
        <w:t>Multi-Tenant Buildings S</w:t>
      </w:r>
      <w:r>
        <w:t>corecard</w:t>
      </w:r>
    </w:p>
    <w:p w14:paraId="14F9454E" w14:textId="48914F60" w:rsidR="008C7B53" w:rsidRDefault="00975DFD" w:rsidP="008C7B53">
      <w:pPr>
        <w:keepNext/>
      </w:pPr>
      <w:r>
        <w:rPr>
          <w:rFonts w:ascii="Garamond" w:hAnsi="Garamond"/>
          <w:b/>
          <w:color w:val="000000" w:themeColor="text1"/>
        </w:rPr>
        <w:t xml:space="preserve"> </w:t>
      </w:r>
      <w:r w:rsidR="00ED5607">
        <w:rPr>
          <w:rFonts w:ascii="Garamond" w:hAnsi="Garamond"/>
          <w:b/>
          <w:color w:val="000000" w:themeColor="text1"/>
        </w:rPr>
        <w:object w:dxaOrig="1534" w:dyaOrig="994" w14:anchorId="02D1F38F">
          <v:shape id="_x0000_i1028" type="#_x0000_t75" style="width:76.5pt;height:49.5pt" o:ole="">
            <v:imagedata r:id="rId29" o:title=""/>
          </v:shape>
          <o:OLEObject Type="Embed" ProgID="AcroExch.Document.11" ShapeID="_x0000_i1028" DrawAspect="Icon" ObjectID="_1575031612" r:id="rId30"/>
        </w:object>
      </w:r>
    </w:p>
    <w:p w14:paraId="544A527B" w14:textId="65B38299" w:rsidR="003E3D13" w:rsidRPr="00712957" w:rsidRDefault="008C7B53" w:rsidP="008C7B53">
      <w:pPr>
        <w:pStyle w:val="Caption"/>
        <w:rPr>
          <w:rFonts w:ascii="Garamond" w:hAnsi="Garamond"/>
          <w:b w:val="0"/>
          <w:color w:val="000000" w:themeColor="text1"/>
        </w:rPr>
      </w:pPr>
      <w:r>
        <w:t>WELL Building Standard Features Matrix</w:t>
      </w:r>
    </w:p>
    <w:bookmarkEnd w:id="1"/>
    <w:p w14:paraId="534772CB" w14:textId="77777777" w:rsidR="00CA4615" w:rsidRPr="00712957" w:rsidRDefault="00CA4615">
      <w:pPr>
        <w:rPr>
          <w:rFonts w:ascii="Garamond" w:hAnsi="Garamond"/>
          <w:b/>
          <w:color w:val="000000" w:themeColor="text1"/>
        </w:rPr>
      </w:pPr>
    </w:p>
    <w:p w14:paraId="186427C2" w14:textId="775191F5" w:rsidR="00CA4615" w:rsidRDefault="00CA4615" w:rsidP="00A03DB7">
      <w:pPr>
        <w:pStyle w:val="Heading2"/>
      </w:pPr>
      <w:r w:rsidRPr="00712957">
        <w:t xml:space="preserve">Appendix </w:t>
      </w:r>
      <w:r w:rsidR="0020436E" w:rsidRPr="00712957">
        <w:t>C</w:t>
      </w:r>
      <w:r w:rsidRPr="00712957">
        <w:t xml:space="preserve">: </w:t>
      </w:r>
      <w:r w:rsidR="00261A75" w:rsidRPr="00712957">
        <w:t xml:space="preserve">Integrative Design </w:t>
      </w:r>
      <w:r w:rsidR="00EB0E71" w:rsidRPr="00712957">
        <w:t xml:space="preserve">Process </w:t>
      </w:r>
      <w:r w:rsidR="00EA3AE0">
        <w:t>for</w:t>
      </w:r>
      <w:r w:rsidR="00261A75" w:rsidRPr="00712957">
        <w:t xml:space="preserve"> Health</w:t>
      </w:r>
      <w:r w:rsidR="00EB0E71" w:rsidRPr="00712957">
        <w:t xml:space="preserve"> </w:t>
      </w:r>
      <w:r w:rsidR="00DF685F">
        <w:t>and Wellness</w:t>
      </w:r>
    </w:p>
    <w:p w14:paraId="3885C19D" w14:textId="77777777" w:rsidR="00796AD8" w:rsidRDefault="00796AD8">
      <w:pPr>
        <w:rPr>
          <w:rFonts w:ascii="Garamond" w:hAnsi="Garamond"/>
          <w:b/>
          <w:color w:val="000000" w:themeColor="text1"/>
        </w:rPr>
      </w:pPr>
    </w:p>
    <w:p w14:paraId="1C1F543B" w14:textId="43B0ACD5" w:rsidR="00796AD8" w:rsidRDefault="00796AD8" w:rsidP="00796AD8">
      <w:pPr>
        <w:pStyle w:val="NormalWeb"/>
        <w:shd w:val="clear" w:color="auto" w:fill="FFFFFF"/>
        <w:spacing w:before="0" w:beforeAutospacing="0" w:after="0" w:afterAutospacing="0"/>
        <w:rPr>
          <w:rFonts w:ascii="Garamond" w:hAnsi="Garamond"/>
          <w:color w:val="333333"/>
          <w:sz w:val="22"/>
          <w:szCs w:val="22"/>
        </w:rPr>
      </w:pPr>
      <w:r>
        <w:rPr>
          <w:rFonts w:ascii="Garamond" w:hAnsi="Garamond"/>
          <w:color w:val="333333"/>
          <w:sz w:val="22"/>
          <w:szCs w:val="22"/>
        </w:rPr>
        <w:t>As building design has become more complex and owners</w:t>
      </w:r>
      <w:r w:rsidR="00950E6F">
        <w:rPr>
          <w:rFonts w:ascii="Garamond" w:hAnsi="Garamond"/>
          <w:color w:val="333333"/>
          <w:sz w:val="22"/>
          <w:szCs w:val="22"/>
        </w:rPr>
        <w:t>’</w:t>
      </w:r>
      <w:r>
        <w:rPr>
          <w:rFonts w:ascii="Garamond" w:hAnsi="Garamond"/>
          <w:color w:val="333333"/>
          <w:sz w:val="22"/>
          <w:szCs w:val="22"/>
        </w:rPr>
        <w:t xml:space="preserve"> requirements more demanding, integrated design process</w:t>
      </w:r>
      <w:r w:rsidR="00950E6F">
        <w:rPr>
          <w:rFonts w:ascii="Garamond" w:hAnsi="Garamond"/>
          <w:color w:val="333333"/>
          <w:sz w:val="22"/>
          <w:szCs w:val="22"/>
        </w:rPr>
        <w:t>es</w:t>
      </w:r>
      <w:r>
        <w:rPr>
          <w:rFonts w:ascii="Garamond" w:hAnsi="Garamond"/>
          <w:color w:val="333333"/>
          <w:sz w:val="22"/>
          <w:szCs w:val="22"/>
        </w:rPr>
        <w:t xml:space="preserve"> and integrated project delivery methodologies have been developed to improve the outcomes of the design and construction process. </w:t>
      </w:r>
      <w:r w:rsidRPr="00090BB8">
        <w:rPr>
          <w:rFonts w:ascii="Garamond" w:hAnsi="Garamond"/>
          <w:color w:val="333333"/>
          <w:sz w:val="22"/>
          <w:szCs w:val="22"/>
        </w:rPr>
        <w:t xml:space="preserve"> </w:t>
      </w:r>
      <w:r>
        <w:rPr>
          <w:rFonts w:ascii="Garamond" w:hAnsi="Garamond"/>
          <w:color w:val="333333"/>
          <w:sz w:val="22"/>
          <w:szCs w:val="22"/>
        </w:rPr>
        <w:t>This process has been extremely successful in realizing more energy efficient and better performing buildings. Recognizing the complexity of integrating strategies into building design that will encourage increased activity and/or support positive health outcomes, the design community has begun working with the public health community to integrate public health expertise into the design process. The integrated design process for health promotion developed by the USGBC is but one example of such a process.</w:t>
      </w:r>
    </w:p>
    <w:p w14:paraId="78EF1A38" w14:textId="77777777" w:rsidR="00796AD8" w:rsidRPr="00090BB8" w:rsidRDefault="00796AD8" w:rsidP="00796AD8">
      <w:pPr>
        <w:pStyle w:val="NormalWeb"/>
        <w:shd w:val="clear" w:color="auto" w:fill="FFFFFF"/>
        <w:spacing w:before="0" w:beforeAutospacing="0" w:after="0" w:afterAutospacing="0"/>
        <w:rPr>
          <w:rFonts w:ascii="Garamond" w:hAnsi="Garamond"/>
          <w:color w:val="333333"/>
          <w:sz w:val="22"/>
          <w:szCs w:val="22"/>
        </w:rPr>
      </w:pPr>
    </w:p>
    <w:p w14:paraId="07CDDECB" w14:textId="1CBF0B61" w:rsidR="00796AD8" w:rsidRPr="00090BB8" w:rsidRDefault="00796AD8" w:rsidP="00796AD8">
      <w:pPr>
        <w:pStyle w:val="NormalWeb"/>
        <w:shd w:val="clear" w:color="auto" w:fill="FFFFFF"/>
        <w:spacing w:before="30" w:beforeAutospacing="0" w:after="180" w:afterAutospacing="0"/>
        <w:rPr>
          <w:rFonts w:ascii="Garamond" w:hAnsi="Garamond"/>
          <w:color w:val="333333"/>
          <w:sz w:val="22"/>
          <w:szCs w:val="22"/>
        </w:rPr>
      </w:pPr>
      <w:r w:rsidRPr="00090BB8">
        <w:rPr>
          <w:rFonts w:ascii="Garamond" w:hAnsi="Garamond"/>
          <w:color w:val="333333"/>
          <w:sz w:val="22"/>
          <w:szCs w:val="22"/>
        </w:rPr>
        <w:t xml:space="preserve">The LEED credit for health promotion in the integrated design process outlines a </w:t>
      </w:r>
      <w:r>
        <w:rPr>
          <w:rFonts w:ascii="Garamond" w:hAnsi="Garamond"/>
          <w:color w:val="333333"/>
          <w:sz w:val="22"/>
          <w:szCs w:val="22"/>
        </w:rPr>
        <w:t xml:space="preserve">step-by-step approach to integrating a public health partner into the design team. This allows the team to access and utilize public health data and community input to identify how the building may impact social, environmental, and economic factors that could, in turn, </w:t>
      </w:r>
      <w:r w:rsidRPr="00090BB8">
        <w:rPr>
          <w:rFonts w:ascii="Garamond" w:hAnsi="Garamond"/>
          <w:color w:val="333333"/>
          <w:sz w:val="22"/>
          <w:szCs w:val="22"/>
        </w:rPr>
        <w:t xml:space="preserve">promote positive health outcomes or prevent unintended negative </w:t>
      </w:r>
      <w:r w:rsidRPr="00090BB8">
        <w:rPr>
          <w:rFonts w:ascii="Garamond" w:hAnsi="Garamond"/>
          <w:color w:val="333333"/>
          <w:sz w:val="22"/>
          <w:szCs w:val="22"/>
        </w:rPr>
        <w:lastRenderedPageBreak/>
        <w:t>consequences for health. The pilot credit and similar efforts in the WELL certification system and ASHR</w:t>
      </w:r>
      <w:r>
        <w:rPr>
          <w:rFonts w:ascii="Garamond" w:hAnsi="Garamond"/>
          <w:color w:val="333333"/>
          <w:sz w:val="22"/>
          <w:szCs w:val="22"/>
        </w:rPr>
        <w:t>AE</w:t>
      </w:r>
      <w:r w:rsidRPr="00090BB8">
        <w:rPr>
          <w:rFonts w:ascii="Garamond" w:hAnsi="Garamond"/>
          <w:color w:val="333333"/>
          <w:sz w:val="22"/>
          <w:szCs w:val="22"/>
        </w:rPr>
        <w:t xml:space="preserve"> guidelines aim to build on the industry’s move toward an </w:t>
      </w:r>
      <w:r w:rsidR="00950E6F">
        <w:rPr>
          <w:rFonts w:ascii="Garamond" w:hAnsi="Garamond"/>
          <w:color w:val="333333"/>
          <w:sz w:val="22"/>
          <w:szCs w:val="22"/>
        </w:rPr>
        <w:t>i</w:t>
      </w:r>
      <w:r w:rsidR="00950E6F" w:rsidRPr="00090BB8">
        <w:rPr>
          <w:rFonts w:ascii="Garamond" w:hAnsi="Garamond"/>
          <w:color w:val="333333"/>
          <w:sz w:val="22"/>
          <w:szCs w:val="22"/>
        </w:rPr>
        <w:t xml:space="preserve">ntegrative </w:t>
      </w:r>
      <w:r w:rsidR="00950E6F">
        <w:rPr>
          <w:rFonts w:ascii="Garamond" w:hAnsi="Garamond"/>
          <w:color w:val="333333"/>
          <w:sz w:val="22"/>
          <w:szCs w:val="22"/>
        </w:rPr>
        <w:t>d</w:t>
      </w:r>
      <w:r w:rsidR="00950E6F" w:rsidRPr="00090BB8">
        <w:rPr>
          <w:rFonts w:ascii="Garamond" w:hAnsi="Garamond"/>
          <w:color w:val="333333"/>
          <w:sz w:val="22"/>
          <w:szCs w:val="22"/>
        </w:rPr>
        <w:t xml:space="preserve">esign </w:t>
      </w:r>
      <w:r w:rsidR="00950E6F">
        <w:rPr>
          <w:rFonts w:ascii="Garamond" w:hAnsi="Garamond"/>
          <w:color w:val="333333"/>
          <w:sz w:val="22"/>
          <w:szCs w:val="22"/>
        </w:rPr>
        <w:t>p</w:t>
      </w:r>
      <w:r w:rsidRPr="00090BB8">
        <w:rPr>
          <w:rFonts w:ascii="Garamond" w:hAnsi="Garamond"/>
          <w:color w:val="333333"/>
          <w:sz w:val="22"/>
          <w:szCs w:val="22"/>
        </w:rPr>
        <w:t xml:space="preserve">rocess </w:t>
      </w:r>
      <w:r w:rsidR="00950E6F">
        <w:rPr>
          <w:rFonts w:ascii="Garamond" w:hAnsi="Garamond"/>
          <w:color w:val="333333"/>
          <w:sz w:val="22"/>
          <w:szCs w:val="22"/>
        </w:rPr>
        <w:t xml:space="preserve">(IDP) </w:t>
      </w:r>
      <w:r w:rsidRPr="00090BB8">
        <w:rPr>
          <w:rFonts w:ascii="Garamond" w:hAnsi="Garamond"/>
          <w:color w:val="333333"/>
          <w:sz w:val="22"/>
          <w:szCs w:val="22"/>
        </w:rPr>
        <w:t>that includes occupant health.</w:t>
      </w:r>
    </w:p>
    <w:p w14:paraId="7FE8BC60" w14:textId="68244C92" w:rsidR="00796AD8" w:rsidRPr="00090BB8" w:rsidRDefault="00796AD8" w:rsidP="00796AD8">
      <w:pPr>
        <w:pStyle w:val="NormalWeb"/>
        <w:shd w:val="clear" w:color="auto" w:fill="FFFFFF"/>
        <w:spacing w:before="30" w:beforeAutospacing="0" w:after="180" w:afterAutospacing="0"/>
        <w:rPr>
          <w:rFonts w:ascii="Garamond" w:hAnsi="Garamond"/>
          <w:color w:val="333333"/>
          <w:sz w:val="22"/>
          <w:szCs w:val="22"/>
        </w:rPr>
      </w:pPr>
      <w:r>
        <w:rPr>
          <w:rFonts w:ascii="Garamond" w:hAnsi="Garamond"/>
          <w:color w:val="333333"/>
          <w:sz w:val="22"/>
          <w:szCs w:val="22"/>
        </w:rPr>
        <w:t xml:space="preserve">Building on the proven </w:t>
      </w:r>
      <w:r w:rsidR="00950E6F">
        <w:rPr>
          <w:rFonts w:ascii="Garamond" w:hAnsi="Garamond"/>
          <w:color w:val="333333"/>
          <w:sz w:val="22"/>
          <w:szCs w:val="22"/>
        </w:rPr>
        <w:t xml:space="preserve">integrative </w:t>
      </w:r>
      <w:r>
        <w:rPr>
          <w:rFonts w:ascii="Garamond" w:hAnsi="Garamond"/>
          <w:color w:val="333333"/>
          <w:sz w:val="22"/>
          <w:szCs w:val="22"/>
        </w:rPr>
        <w:t xml:space="preserve">design methodology, the process integrates learning from the public health sector’s </w:t>
      </w:r>
      <w:r w:rsidRPr="00090BB8">
        <w:rPr>
          <w:rFonts w:ascii="Garamond" w:hAnsi="Garamond"/>
          <w:color w:val="333333"/>
          <w:sz w:val="22"/>
          <w:szCs w:val="22"/>
        </w:rPr>
        <w:t>health impact assessment</w:t>
      </w:r>
      <w:r w:rsidR="00950E6F">
        <w:rPr>
          <w:rFonts w:ascii="Garamond" w:hAnsi="Garamond"/>
          <w:color w:val="333333"/>
          <w:sz w:val="22"/>
          <w:szCs w:val="22"/>
        </w:rPr>
        <w:t>s</w:t>
      </w:r>
      <w:r w:rsidRPr="00090BB8">
        <w:rPr>
          <w:rFonts w:ascii="Garamond" w:hAnsi="Garamond"/>
          <w:color w:val="333333"/>
          <w:sz w:val="22"/>
          <w:szCs w:val="22"/>
        </w:rPr>
        <w:t xml:space="preserve"> (HIA</w:t>
      </w:r>
      <w:r w:rsidR="00950E6F">
        <w:rPr>
          <w:rFonts w:ascii="Garamond" w:hAnsi="Garamond"/>
          <w:color w:val="333333"/>
          <w:sz w:val="22"/>
          <w:szCs w:val="22"/>
        </w:rPr>
        <w:t>s</w:t>
      </w:r>
      <w:r w:rsidRPr="00090BB8">
        <w:rPr>
          <w:rFonts w:ascii="Garamond" w:hAnsi="Garamond"/>
          <w:color w:val="333333"/>
          <w:sz w:val="22"/>
          <w:szCs w:val="22"/>
        </w:rPr>
        <w:t xml:space="preserve">), a broadly used framework that helps guide systematic and comprehensive </w:t>
      </w:r>
      <w:r>
        <w:rPr>
          <w:rFonts w:ascii="Garamond" w:hAnsi="Garamond"/>
          <w:color w:val="333333"/>
          <w:sz w:val="22"/>
          <w:szCs w:val="22"/>
        </w:rPr>
        <w:t>evaluation</w:t>
      </w:r>
      <w:r w:rsidRPr="00090BB8">
        <w:rPr>
          <w:rFonts w:ascii="Garamond" w:hAnsi="Garamond"/>
          <w:color w:val="333333"/>
          <w:sz w:val="22"/>
          <w:szCs w:val="22"/>
        </w:rPr>
        <w:t xml:space="preserve"> of potential public health impacts of proposed policies</w:t>
      </w:r>
      <w:r>
        <w:rPr>
          <w:rFonts w:ascii="Garamond" w:hAnsi="Garamond"/>
          <w:color w:val="333333"/>
          <w:sz w:val="22"/>
          <w:szCs w:val="22"/>
        </w:rPr>
        <w:t xml:space="preserve"> and actions</w:t>
      </w:r>
      <w:r w:rsidRPr="00090BB8">
        <w:rPr>
          <w:rFonts w:ascii="Garamond" w:hAnsi="Garamond"/>
          <w:color w:val="333333"/>
          <w:sz w:val="22"/>
          <w:szCs w:val="22"/>
        </w:rPr>
        <w:t xml:space="preserve">. </w:t>
      </w:r>
      <w:r>
        <w:rPr>
          <w:rFonts w:ascii="Garamond" w:hAnsi="Garamond"/>
          <w:color w:val="333333"/>
          <w:sz w:val="22"/>
          <w:szCs w:val="22"/>
        </w:rPr>
        <w:t>A</w:t>
      </w:r>
      <w:r w:rsidRPr="00090BB8">
        <w:rPr>
          <w:rFonts w:ascii="Garamond" w:hAnsi="Garamond"/>
          <w:color w:val="333333"/>
          <w:sz w:val="22"/>
          <w:szCs w:val="22"/>
        </w:rPr>
        <w:t xml:space="preserve"> health lens </w:t>
      </w:r>
      <w:r>
        <w:rPr>
          <w:rFonts w:ascii="Garamond" w:hAnsi="Garamond"/>
          <w:color w:val="333333"/>
          <w:sz w:val="22"/>
          <w:szCs w:val="22"/>
        </w:rPr>
        <w:t xml:space="preserve">is added </w:t>
      </w:r>
      <w:r w:rsidRPr="00090BB8">
        <w:rPr>
          <w:rFonts w:ascii="Garamond" w:hAnsi="Garamond"/>
          <w:color w:val="333333"/>
          <w:sz w:val="22"/>
          <w:szCs w:val="22"/>
        </w:rPr>
        <w:t>to existing analyses, rather than re</w:t>
      </w:r>
      <w:r>
        <w:rPr>
          <w:rFonts w:ascii="Garamond" w:hAnsi="Garamond"/>
          <w:color w:val="333333"/>
          <w:sz w:val="22"/>
          <w:szCs w:val="22"/>
        </w:rPr>
        <w:t xml:space="preserve">quiring a series of additional </w:t>
      </w:r>
      <w:r w:rsidRPr="00090BB8">
        <w:rPr>
          <w:rFonts w:ascii="Garamond" w:hAnsi="Garamond"/>
          <w:color w:val="333333"/>
          <w:sz w:val="22"/>
          <w:szCs w:val="22"/>
        </w:rPr>
        <w:t>health related steps.</w:t>
      </w:r>
    </w:p>
    <w:p w14:paraId="1E8FBCA4" w14:textId="77777777" w:rsidR="00796AD8" w:rsidRDefault="00796AD8" w:rsidP="00A03DB7">
      <w:pPr>
        <w:pStyle w:val="Heading3"/>
      </w:pPr>
      <w:r w:rsidRPr="005B633B">
        <w:t>General Approach for IDP for Health Promotion</w:t>
      </w:r>
    </w:p>
    <w:p w14:paraId="71DA01E4" w14:textId="77777777" w:rsidR="001F2342" w:rsidRPr="00226827" w:rsidRDefault="001F2342" w:rsidP="00796AD8">
      <w:pPr>
        <w:rPr>
          <w:rFonts w:ascii="Garamond" w:hAnsi="Garamond"/>
          <w:b/>
          <w:sz w:val="22"/>
          <w:szCs w:val="22"/>
        </w:rPr>
      </w:pPr>
    </w:p>
    <w:p w14:paraId="0B44AC88" w14:textId="66C99BF4" w:rsidR="00796AD8" w:rsidRPr="001C44F3" w:rsidRDefault="00796AD8" w:rsidP="00796AD8">
      <w:pPr>
        <w:rPr>
          <w:rFonts w:ascii="Garamond" w:hAnsi="Garamond"/>
          <w:b/>
          <w:i/>
          <w:sz w:val="22"/>
          <w:szCs w:val="22"/>
        </w:rPr>
      </w:pPr>
      <w:r w:rsidRPr="001C44F3">
        <w:rPr>
          <w:rFonts w:ascii="Garamond" w:hAnsi="Garamond"/>
          <w:b/>
          <w:i/>
          <w:sz w:val="22"/>
          <w:szCs w:val="22"/>
        </w:rPr>
        <w:t xml:space="preserve">The following language has </w:t>
      </w:r>
      <w:r w:rsidR="001C44F3" w:rsidRPr="001C44F3">
        <w:rPr>
          <w:rFonts w:ascii="Garamond" w:hAnsi="Garamond"/>
          <w:b/>
          <w:i/>
          <w:sz w:val="22"/>
          <w:szCs w:val="22"/>
        </w:rPr>
        <w:t xml:space="preserve">been </w:t>
      </w:r>
      <w:r w:rsidR="001C44F3">
        <w:rPr>
          <w:rFonts w:ascii="Garamond" w:hAnsi="Garamond"/>
          <w:b/>
          <w:i/>
          <w:sz w:val="22"/>
          <w:szCs w:val="22"/>
        </w:rPr>
        <w:t xml:space="preserve">borrowed and </w:t>
      </w:r>
      <w:r w:rsidRPr="001C44F3">
        <w:rPr>
          <w:rFonts w:ascii="Garamond" w:hAnsi="Garamond"/>
          <w:b/>
          <w:i/>
          <w:sz w:val="22"/>
          <w:szCs w:val="22"/>
        </w:rPr>
        <w:t xml:space="preserve">adapted from the </w:t>
      </w:r>
      <w:hyperlink r:id="rId31" w:history="1">
        <w:r w:rsidRPr="001C44F3">
          <w:rPr>
            <w:rStyle w:val="Hyperlink"/>
            <w:rFonts w:ascii="Garamond" w:hAnsi="Garamond"/>
            <w:b/>
            <w:i/>
            <w:color w:val="auto"/>
            <w:sz w:val="22"/>
            <w:szCs w:val="22"/>
          </w:rPr>
          <w:t>LEED Innovation Credit for Integrative Process for Health Promotion.</w:t>
        </w:r>
      </w:hyperlink>
      <w:r w:rsidRPr="001C44F3">
        <w:rPr>
          <w:rFonts w:ascii="Garamond" w:hAnsi="Garamond"/>
          <w:b/>
          <w:i/>
          <w:sz w:val="22"/>
          <w:szCs w:val="22"/>
        </w:rPr>
        <w:t xml:space="preserve"> It has been edited and shorted to give an overview of a </w:t>
      </w:r>
      <w:r w:rsidR="00F71081">
        <w:rPr>
          <w:rFonts w:ascii="Garamond" w:hAnsi="Garamond"/>
          <w:b/>
          <w:i/>
          <w:sz w:val="22"/>
          <w:szCs w:val="22"/>
        </w:rPr>
        <w:t>protocol</w:t>
      </w:r>
      <w:r w:rsidR="00F71081" w:rsidRPr="001C44F3">
        <w:rPr>
          <w:rFonts w:ascii="Garamond" w:hAnsi="Garamond"/>
          <w:b/>
          <w:i/>
          <w:sz w:val="22"/>
          <w:szCs w:val="22"/>
        </w:rPr>
        <w:t xml:space="preserve"> </w:t>
      </w:r>
      <w:r w:rsidRPr="001C44F3">
        <w:rPr>
          <w:rFonts w:ascii="Garamond" w:hAnsi="Garamond"/>
          <w:b/>
          <w:i/>
          <w:sz w:val="22"/>
          <w:szCs w:val="22"/>
        </w:rPr>
        <w:t>to integrate a public health expertise into the design process.</w:t>
      </w:r>
    </w:p>
    <w:p w14:paraId="649BA5C9" w14:textId="77777777" w:rsidR="00796AD8" w:rsidRPr="00090BB8" w:rsidRDefault="00796AD8" w:rsidP="00796AD8">
      <w:pPr>
        <w:rPr>
          <w:rFonts w:ascii="Garamond" w:hAnsi="Garamond"/>
          <w:sz w:val="22"/>
          <w:szCs w:val="22"/>
        </w:rPr>
      </w:pPr>
    </w:p>
    <w:p w14:paraId="4233FBB1" w14:textId="77777777" w:rsidR="00796AD8" w:rsidRPr="00090BB8" w:rsidRDefault="00796AD8" w:rsidP="008F523A">
      <w:pPr>
        <w:pStyle w:val="Heading4"/>
      </w:pPr>
      <w:r w:rsidRPr="00090BB8">
        <w:t xml:space="preserve">STEP 1. Team with a public health partner </w:t>
      </w:r>
    </w:p>
    <w:p w14:paraId="5F4B8FD0" w14:textId="3F7287A3" w:rsidR="00796AD8" w:rsidRPr="00090BB8" w:rsidRDefault="00796AD8" w:rsidP="00796AD8">
      <w:pPr>
        <w:rPr>
          <w:rFonts w:ascii="Garamond" w:hAnsi="Garamond"/>
          <w:sz w:val="22"/>
          <w:szCs w:val="22"/>
        </w:rPr>
      </w:pPr>
      <w:r w:rsidRPr="00090BB8">
        <w:rPr>
          <w:rFonts w:ascii="Garamond" w:hAnsi="Garamond"/>
          <w:sz w:val="22"/>
          <w:szCs w:val="22"/>
        </w:rPr>
        <w:t>The first step is for the project team to identify a public health partner appropriate to engage in the process required by this credit. Good sources for public health partners include community health related non-profits, hospitals with community based programming, universities, or local health departments. The design team should work with the public health partner to introduce the concept of the integrative process and general concepts related to the design process.</w:t>
      </w:r>
    </w:p>
    <w:p w14:paraId="70D90895" w14:textId="77777777" w:rsidR="00796AD8" w:rsidRPr="00090BB8" w:rsidRDefault="00796AD8" w:rsidP="00796AD8">
      <w:pPr>
        <w:rPr>
          <w:rFonts w:ascii="Garamond" w:hAnsi="Garamond"/>
          <w:sz w:val="22"/>
          <w:szCs w:val="22"/>
        </w:rPr>
      </w:pPr>
    </w:p>
    <w:p w14:paraId="512B3D28" w14:textId="195B8202" w:rsidR="00796AD8" w:rsidRPr="00090BB8" w:rsidRDefault="00796AD8" w:rsidP="008F523A">
      <w:pPr>
        <w:pStyle w:val="Heading4"/>
      </w:pPr>
      <w:r w:rsidRPr="00090BB8">
        <w:t xml:space="preserve">STEP 2. Identify the </w:t>
      </w:r>
      <w:r w:rsidR="006749CA">
        <w:t>c</w:t>
      </w:r>
      <w:r w:rsidR="006749CA" w:rsidRPr="00090BB8">
        <w:t xml:space="preserve">ommunities </w:t>
      </w:r>
      <w:r w:rsidR="006749CA">
        <w:t>i</w:t>
      </w:r>
      <w:r w:rsidRPr="00090BB8">
        <w:t>mpact</w:t>
      </w:r>
      <w:r w:rsidR="006749CA">
        <w:t>ed</w:t>
      </w:r>
    </w:p>
    <w:p w14:paraId="02D5F922" w14:textId="4E19FDAC" w:rsidR="00796AD8" w:rsidRPr="00090BB8" w:rsidRDefault="00796AD8" w:rsidP="00796AD8">
      <w:pPr>
        <w:rPr>
          <w:rFonts w:ascii="Garamond" w:hAnsi="Garamond"/>
          <w:sz w:val="22"/>
          <w:szCs w:val="22"/>
        </w:rPr>
      </w:pPr>
      <w:r w:rsidRPr="00090BB8">
        <w:rPr>
          <w:rFonts w:ascii="Garamond" w:hAnsi="Garamond"/>
          <w:sz w:val="22"/>
          <w:szCs w:val="22"/>
        </w:rPr>
        <w:t xml:space="preserve">Identify the communities that will be impacted by the project. As discussed in the </w:t>
      </w:r>
      <w:r w:rsidR="001F52D9">
        <w:rPr>
          <w:rFonts w:ascii="Garamond" w:hAnsi="Garamond"/>
          <w:sz w:val="22"/>
          <w:szCs w:val="22"/>
        </w:rPr>
        <w:t>S</w:t>
      </w:r>
      <w:r w:rsidR="006749CA" w:rsidRPr="00090BB8">
        <w:rPr>
          <w:rFonts w:ascii="Garamond" w:hAnsi="Garamond"/>
          <w:sz w:val="22"/>
          <w:szCs w:val="22"/>
        </w:rPr>
        <w:t xml:space="preserve">ocial </w:t>
      </w:r>
      <w:r w:rsidR="001F52D9">
        <w:rPr>
          <w:rFonts w:ascii="Garamond" w:hAnsi="Garamond"/>
          <w:sz w:val="22"/>
          <w:szCs w:val="22"/>
        </w:rPr>
        <w:t>E</w:t>
      </w:r>
      <w:r w:rsidRPr="00090BB8">
        <w:rPr>
          <w:rFonts w:ascii="Garamond" w:hAnsi="Garamond"/>
          <w:sz w:val="22"/>
          <w:szCs w:val="22"/>
        </w:rPr>
        <w:t xml:space="preserve">quity within the </w:t>
      </w:r>
      <w:r w:rsidR="001F52D9">
        <w:rPr>
          <w:rFonts w:ascii="Garamond" w:hAnsi="Garamond"/>
          <w:sz w:val="22"/>
          <w:szCs w:val="22"/>
        </w:rPr>
        <w:t>C</w:t>
      </w:r>
      <w:r w:rsidRPr="00090BB8">
        <w:rPr>
          <w:rFonts w:ascii="Garamond" w:hAnsi="Garamond"/>
          <w:sz w:val="22"/>
          <w:szCs w:val="22"/>
        </w:rPr>
        <w:t>ommunity LEED pilot credit, “in building scale projects, communities have both geographic and functional definitions. Geographic communities start with your neighborhood—the people who live and work in and near your project and interact with it by proximity. The exact distance can depend on your setting. In urban environments, it may be everyone living or working within a few city blocks or within a ¼ mile. In rural areas, where the distance between neighbors might be much greater, the radius may be larger. Geographic communities extend further out beyond your neighborhood to include your town, city or county.</w:t>
      </w:r>
      <w:r w:rsidR="006749CA">
        <w:rPr>
          <w:rFonts w:ascii="Garamond" w:hAnsi="Garamond"/>
          <w:sz w:val="22"/>
          <w:szCs w:val="22"/>
        </w:rPr>
        <w:t>”</w:t>
      </w:r>
      <w:r w:rsidRPr="00090BB8">
        <w:rPr>
          <w:rFonts w:ascii="Garamond" w:hAnsi="Garamond"/>
          <w:sz w:val="22"/>
          <w:szCs w:val="22"/>
        </w:rPr>
        <w:t xml:space="preserve"> </w:t>
      </w:r>
    </w:p>
    <w:p w14:paraId="65C33968" w14:textId="77777777" w:rsidR="00796AD8" w:rsidRPr="00090BB8" w:rsidRDefault="00796AD8" w:rsidP="00796AD8">
      <w:pPr>
        <w:rPr>
          <w:rFonts w:ascii="Garamond" w:hAnsi="Garamond"/>
          <w:sz w:val="22"/>
          <w:szCs w:val="22"/>
        </w:rPr>
      </w:pPr>
    </w:p>
    <w:p w14:paraId="0D7E437F" w14:textId="22FA45BD" w:rsidR="00796AD8" w:rsidRPr="00090BB8" w:rsidRDefault="006749CA" w:rsidP="00796AD8">
      <w:pPr>
        <w:rPr>
          <w:rFonts w:ascii="Garamond" w:hAnsi="Garamond"/>
          <w:sz w:val="22"/>
          <w:szCs w:val="22"/>
        </w:rPr>
      </w:pPr>
      <w:r>
        <w:rPr>
          <w:rFonts w:ascii="Garamond" w:hAnsi="Garamond"/>
          <w:sz w:val="22"/>
          <w:szCs w:val="22"/>
        </w:rPr>
        <w:t>“</w:t>
      </w:r>
      <w:r w:rsidR="00796AD8" w:rsidRPr="00090BB8">
        <w:rPr>
          <w:rFonts w:ascii="Garamond" w:hAnsi="Garamond"/>
          <w:sz w:val="22"/>
          <w:szCs w:val="22"/>
        </w:rPr>
        <w:t xml:space="preserve">Functional communities include all of the people who come to your building to work or visit. These people may or may not live nearby. This category includes your employees, contractors, operations staff, and visitors. It may vary significantly depending on the type of project. For example, housing, offices, hotels, schools or retail projects will all have unique combinations of occupants, contractors and visitors.” </w:t>
      </w:r>
      <w:r w:rsidR="004E6440">
        <w:rPr>
          <w:rFonts w:ascii="Garamond" w:hAnsi="Garamond"/>
          <w:sz w:val="22"/>
          <w:szCs w:val="22"/>
        </w:rPr>
        <w:t>S</w:t>
      </w:r>
      <w:r w:rsidR="00796AD8" w:rsidRPr="00090BB8">
        <w:rPr>
          <w:rFonts w:ascii="Garamond" w:hAnsi="Garamond"/>
          <w:sz w:val="22"/>
          <w:szCs w:val="22"/>
        </w:rPr>
        <w:t>ocial determinants and social equity</w:t>
      </w:r>
      <w:r>
        <w:rPr>
          <w:rFonts w:ascii="Garamond" w:hAnsi="Garamond"/>
          <w:sz w:val="22"/>
          <w:szCs w:val="22"/>
        </w:rPr>
        <w:t xml:space="preserve"> are</w:t>
      </w:r>
      <w:r w:rsidR="00796AD8" w:rsidRPr="00090BB8">
        <w:rPr>
          <w:rFonts w:ascii="Garamond" w:hAnsi="Garamond"/>
          <w:sz w:val="22"/>
          <w:szCs w:val="22"/>
        </w:rPr>
        <w:t xml:space="preserve"> important part</w:t>
      </w:r>
      <w:r w:rsidR="004E6440">
        <w:rPr>
          <w:rFonts w:ascii="Garamond" w:hAnsi="Garamond"/>
          <w:sz w:val="22"/>
          <w:szCs w:val="22"/>
        </w:rPr>
        <w:t>s</w:t>
      </w:r>
      <w:r w:rsidR="00796AD8" w:rsidRPr="00090BB8">
        <w:rPr>
          <w:rFonts w:ascii="Garamond" w:hAnsi="Garamond"/>
          <w:sz w:val="22"/>
          <w:szCs w:val="22"/>
        </w:rPr>
        <w:t xml:space="preserve"> of public health</w:t>
      </w:r>
      <w:r w:rsidR="004E6440">
        <w:rPr>
          <w:rFonts w:ascii="Garamond" w:hAnsi="Garamond"/>
          <w:sz w:val="22"/>
          <w:szCs w:val="22"/>
        </w:rPr>
        <w:t>; therefore</w:t>
      </w:r>
      <w:r w:rsidR="00796AD8" w:rsidRPr="00090BB8">
        <w:rPr>
          <w:rFonts w:ascii="Garamond" w:hAnsi="Garamond"/>
          <w:sz w:val="22"/>
          <w:szCs w:val="22"/>
        </w:rPr>
        <w:t xml:space="preserve"> projects pursuing social equity related credits can and should use the same communities to assess health within this credit.</w:t>
      </w:r>
    </w:p>
    <w:p w14:paraId="3FF01B28" w14:textId="77777777" w:rsidR="00796AD8" w:rsidRPr="00090BB8" w:rsidRDefault="00796AD8" w:rsidP="00796AD8">
      <w:pPr>
        <w:rPr>
          <w:rFonts w:ascii="Garamond" w:hAnsi="Garamond"/>
          <w:sz w:val="22"/>
          <w:szCs w:val="22"/>
        </w:rPr>
      </w:pPr>
    </w:p>
    <w:p w14:paraId="794E93F6" w14:textId="77777777" w:rsidR="00796AD8" w:rsidRPr="00090BB8" w:rsidRDefault="00796AD8" w:rsidP="008F523A">
      <w:pPr>
        <w:pStyle w:val="Heading4"/>
      </w:pPr>
      <w:r w:rsidRPr="00090BB8">
        <w:t xml:space="preserve">STEP 3. Conduct preliminary research and analysis </w:t>
      </w:r>
    </w:p>
    <w:p w14:paraId="568F3AAE" w14:textId="2A7F4795" w:rsidR="00796AD8" w:rsidRPr="00090BB8" w:rsidRDefault="00796AD8" w:rsidP="00796AD8">
      <w:pPr>
        <w:rPr>
          <w:rFonts w:ascii="Garamond" w:hAnsi="Garamond"/>
          <w:sz w:val="22"/>
          <w:szCs w:val="22"/>
        </w:rPr>
      </w:pPr>
      <w:r w:rsidRPr="00090BB8">
        <w:rPr>
          <w:rFonts w:ascii="Garamond" w:hAnsi="Garamond"/>
          <w:sz w:val="22"/>
          <w:szCs w:val="22"/>
        </w:rPr>
        <w:t>In consultation with the public health partner, complete research and analysis on the health status of the communities identified in step 2 to support effective and informed decisions about potential integrative design opportunities. Conduct a scoping conversation with public health professionals and community stakeholders to identify the project’s potential connections to health</w:t>
      </w:r>
      <w:r w:rsidR="00296C51">
        <w:rPr>
          <w:rFonts w:ascii="Garamond" w:hAnsi="Garamond"/>
          <w:sz w:val="22"/>
          <w:szCs w:val="22"/>
        </w:rPr>
        <w:t>, including evaluation of public health research from CDC and other sources</w:t>
      </w:r>
      <w:r w:rsidRPr="00090BB8">
        <w:rPr>
          <w:rFonts w:ascii="Garamond" w:hAnsi="Garamond"/>
          <w:sz w:val="22"/>
          <w:szCs w:val="22"/>
        </w:rPr>
        <w:t>. Identify strategies that could be implemented to enhance health-promoting features of the project and those that could minimize potential risks to health. Identify strategies that can be executed during the project’s design and/or construction that would promote health equity</w:t>
      </w:r>
      <w:r w:rsidR="00296C51">
        <w:rPr>
          <w:rFonts w:ascii="Garamond" w:hAnsi="Garamond"/>
          <w:sz w:val="22"/>
          <w:szCs w:val="22"/>
        </w:rPr>
        <w:t>.</w:t>
      </w:r>
    </w:p>
    <w:p w14:paraId="4FCAF7DB" w14:textId="77777777" w:rsidR="00796AD8" w:rsidRPr="00090BB8" w:rsidRDefault="00796AD8" w:rsidP="00796AD8">
      <w:pPr>
        <w:rPr>
          <w:rFonts w:ascii="Garamond" w:hAnsi="Garamond"/>
          <w:sz w:val="22"/>
          <w:szCs w:val="22"/>
        </w:rPr>
      </w:pPr>
    </w:p>
    <w:p w14:paraId="389373D0" w14:textId="77777777" w:rsidR="00796AD8" w:rsidRPr="00090BB8" w:rsidRDefault="00796AD8" w:rsidP="008F523A">
      <w:pPr>
        <w:pStyle w:val="Heading4"/>
      </w:pPr>
      <w:r w:rsidRPr="00090BB8">
        <w:t>STEP 4. Convene goal-setting workshop</w:t>
      </w:r>
    </w:p>
    <w:p w14:paraId="0BCEB195" w14:textId="77777777" w:rsidR="00796AD8" w:rsidRPr="00090BB8" w:rsidRDefault="00796AD8" w:rsidP="00796AD8">
      <w:pPr>
        <w:rPr>
          <w:rFonts w:ascii="Garamond" w:hAnsi="Garamond"/>
          <w:sz w:val="22"/>
          <w:szCs w:val="22"/>
        </w:rPr>
      </w:pPr>
      <w:r w:rsidRPr="00090BB8">
        <w:rPr>
          <w:rFonts w:ascii="Garamond" w:hAnsi="Garamond"/>
          <w:sz w:val="22"/>
          <w:szCs w:val="22"/>
        </w:rPr>
        <w:t xml:space="preserve">Engage the project owner and community stakeholders in a primary project team workshop (or series of workshops) to allow each stakeholder group to articulate their needs and requirements and to identify common goals. Determine the project schedule, functional programmatic requirements, scope, quality, </w:t>
      </w:r>
      <w:r w:rsidRPr="00090BB8">
        <w:rPr>
          <w:rFonts w:ascii="Garamond" w:hAnsi="Garamond"/>
          <w:sz w:val="22"/>
          <w:szCs w:val="22"/>
        </w:rPr>
        <w:lastRenderedPageBreak/>
        <w:t>performance, and occupants’ expectations. This workshop could be folded into existing design charrettes and should accomplish the following:</w:t>
      </w:r>
    </w:p>
    <w:p w14:paraId="137F4B64" w14:textId="77777777" w:rsidR="00796AD8" w:rsidRPr="001606AE" w:rsidRDefault="00796AD8" w:rsidP="00796AD8">
      <w:pPr>
        <w:pStyle w:val="ListParagraph"/>
        <w:numPr>
          <w:ilvl w:val="0"/>
          <w:numId w:val="23"/>
        </w:numPr>
        <w:rPr>
          <w:rFonts w:ascii="Garamond" w:hAnsi="Garamond"/>
          <w:sz w:val="22"/>
          <w:szCs w:val="22"/>
        </w:rPr>
      </w:pPr>
      <w:r w:rsidRPr="001606AE">
        <w:rPr>
          <w:rFonts w:ascii="Garamond" w:hAnsi="Garamond"/>
          <w:sz w:val="22"/>
          <w:szCs w:val="22"/>
        </w:rPr>
        <w:t>Establish initial principles, benchmarks, metrics and performance targets.</w:t>
      </w:r>
    </w:p>
    <w:p w14:paraId="51148905" w14:textId="77777777" w:rsidR="00796AD8" w:rsidRPr="001606AE" w:rsidRDefault="00796AD8" w:rsidP="00796AD8">
      <w:pPr>
        <w:pStyle w:val="ListParagraph"/>
        <w:numPr>
          <w:ilvl w:val="0"/>
          <w:numId w:val="23"/>
        </w:numPr>
        <w:rPr>
          <w:rFonts w:ascii="Garamond" w:hAnsi="Garamond"/>
          <w:sz w:val="22"/>
          <w:szCs w:val="22"/>
        </w:rPr>
      </w:pPr>
      <w:r w:rsidRPr="001606AE">
        <w:rPr>
          <w:rFonts w:ascii="Garamond" w:hAnsi="Garamond"/>
          <w:sz w:val="22"/>
          <w:szCs w:val="22"/>
        </w:rPr>
        <w:t>Generate potential integrative strategies for achieving performance targets.</w:t>
      </w:r>
    </w:p>
    <w:p w14:paraId="1BD971B1" w14:textId="77777777" w:rsidR="00796AD8" w:rsidRPr="001606AE" w:rsidRDefault="00796AD8" w:rsidP="00796AD8">
      <w:pPr>
        <w:pStyle w:val="ListParagraph"/>
        <w:numPr>
          <w:ilvl w:val="0"/>
          <w:numId w:val="23"/>
        </w:numPr>
        <w:rPr>
          <w:rFonts w:ascii="Garamond" w:hAnsi="Garamond"/>
          <w:sz w:val="22"/>
          <w:szCs w:val="22"/>
        </w:rPr>
      </w:pPr>
      <w:r w:rsidRPr="001606AE">
        <w:rPr>
          <w:rFonts w:ascii="Garamond" w:hAnsi="Garamond"/>
          <w:sz w:val="22"/>
          <w:szCs w:val="22"/>
        </w:rPr>
        <w:t>Determine the questions that must be answered to support project decisions.</w:t>
      </w:r>
    </w:p>
    <w:p w14:paraId="7FEB43DA" w14:textId="77777777" w:rsidR="00796AD8" w:rsidRPr="001606AE" w:rsidRDefault="00796AD8" w:rsidP="00796AD8">
      <w:pPr>
        <w:pStyle w:val="ListParagraph"/>
        <w:numPr>
          <w:ilvl w:val="0"/>
          <w:numId w:val="23"/>
        </w:numPr>
        <w:rPr>
          <w:rFonts w:ascii="Garamond" w:hAnsi="Garamond"/>
          <w:sz w:val="22"/>
          <w:szCs w:val="22"/>
        </w:rPr>
      </w:pPr>
      <w:r w:rsidRPr="001606AE">
        <w:rPr>
          <w:rFonts w:ascii="Garamond" w:hAnsi="Garamond"/>
          <w:sz w:val="22"/>
          <w:szCs w:val="22"/>
        </w:rPr>
        <w:t>Identify initial responsibilities and deliverables.</w:t>
      </w:r>
    </w:p>
    <w:p w14:paraId="7F96F701" w14:textId="77777777" w:rsidR="00796AD8" w:rsidRPr="00090BB8" w:rsidRDefault="00796AD8" w:rsidP="00796AD8">
      <w:pPr>
        <w:rPr>
          <w:rFonts w:ascii="Garamond" w:hAnsi="Garamond"/>
          <w:sz w:val="22"/>
          <w:szCs w:val="22"/>
        </w:rPr>
      </w:pPr>
    </w:p>
    <w:p w14:paraId="5D8EE875" w14:textId="77777777" w:rsidR="00796AD8" w:rsidRPr="00090BB8" w:rsidRDefault="00796AD8" w:rsidP="008F523A">
      <w:pPr>
        <w:pStyle w:val="Heading4"/>
      </w:pPr>
      <w:r w:rsidRPr="00090BB8">
        <w:t xml:space="preserve">STEP 5. Evaluate possible health strategies </w:t>
      </w:r>
    </w:p>
    <w:p w14:paraId="4E78BD86" w14:textId="77777777" w:rsidR="00796AD8" w:rsidRPr="00090BB8" w:rsidRDefault="00796AD8" w:rsidP="00796AD8">
      <w:pPr>
        <w:rPr>
          <w:rFonts w:ascii="Garamond" w:hAnsi="Garamond"/>
          <w:sz w:val="22"/>
          <w:szCs w:val="22"/>
        </w:rPr>
      </w:pPr>
      <w:r w:rsidRPr="00090BB8">
        <w:rPr>
          <w:rFonts w:ascii="Garamond" w:hAnsi="Garamond"/>
          <w:sz w:val="22"/>
          <w:szCs w:val="22"/>
        </w:rPr>
        <w:t>Evaluate the proposed goals and performance targets for feasibility and impact by exploring potential strategies for health promotion for each community identified. While evaluation of design specific strategies is required, project teams are encouraged to optionally consider how their design strategies could support potential programmatic health strategies in collaboration with the owner and public health partner.</w:t>
      </w:r>
    </w:p>
    <w:p w14:paraId="090BA289" w14:textId="77777777" w:rsidR="00796AD8" w:rsidRPr="00090BB8" w:rsidRDefault="00796AD8" w:rsidP="00796AD8">
      <w:pPr>
        <w:rPr>
          <w:rFonts w:ascii="Garamond" w:hAnsi="Garamond"/>
          <w:sz w:val="22"/>
          <w:szCs w:val="22"/>
        </w:rPr>
      </w:pPr>
    </w:p>
    <w:p w14:paraId="1E6727FB" w14:textId="30043397" w:rsidR="00796AD8" w:rsidRPr="00090BB8" w:rsidRDefault="00796AD8" w:rsidP="00796AD8">
      <w:pPr>
        <w:rPr>
          <w:rFonts w:ascii="Garamond" w:hAnsi="Garamond"/>
          <w:sz w:val="22"/>
          <w:szCs w:val="22"/>
        </w:rPr>
      </w:pPr>
      <w:r w:rsidRPr="00090BB8">
        <w:rPr>
          <w:rFonts w:ascii="Garamond" w:hAnsi="Garamond"/>
          <w:sz w:val="22"/>
          <w:szCs w:val="22"/>
        </w:rPr>
        <w:t xml:space="preserve">It is expected that some potential strategies identified in Step 5 will be eliminated and that there may be health related issues specifically not addressed due to the analysis and prioritization required by this process. Explanation for the selected strategies </w:t>
      </w:r>
      <w:r w:rsidR="006749CA">
        <w:rPr>
          <w:rFonts w:ascii="Garamond" w:hAnsi="Garamond"/>
          <w:sz w:val="22"/>
          <w:szCs w:val="22"/>
        </w:rPr>
        <w:t>is</w:t>
      </w:r>
      <w:r w:rsidRPr="00090BB8">
        <w:rPr>
          <w:rFonts w:ascii="Garamond" w:hAnsi="Garamond"/>
          <w:sz w:val="22"/>
          <w:szCs w:val="22"/>
        </w:rPr>
        <w:t xml:space="preserve"> documented in Step 6.</w:t>
      </w:r>
    </w:p>
    <w:p w14:paraId="76758339" w14:textId="77777777" w:rsidR="00796AD8" w:rsidRPr="00090BB8" w:rsidRDefault="00796AD8" w:rsidP="00796AD8">
      <w:pPr>
        <w:rPr>
          <w:rFonts w:ascii="Garamond" w:hAnsi="Garamond"/>
          <w:sz w:val="22"/>
          <w:szCs w:val="22"/>
        </w:rPr>
      </w:pPr>
    </w:p>
    <w:p w14:paraId="15382702" w14:textId="77777777" w:rsidR="00796AD8" w:rsidRPr="00090BB8" w:rsidRDefault="00796AD8" w:rsidP="008F523A">
      <w:pPr>
        <w:pStyle w:val="Heading4"/>
      </w:pPr>
      <w:r w:rsidRPr="00090BB8">
        <w:t xml:space="preserve">STEP 6. Integrate strategies into project design </w:t>
      </w:r>
    </w:p>
    <w:p w14:paraId="263D3099" w14:textId="1D2E3D9A" w:rsidR="00796AD8" w:rsidRPr="00090BB8" w:rsidRDefault="00796AD8" w:rsidP="00796AD8">
      <w:pPr>
        <w:rPr>
          <w:rFonts w:ascii="Garamond" w:hAnsi="Garamond"/>
          <w:sz w:val="22"/>
          <w:szCs w:val="22"/>
        </w:rPr>
      </w:pPr>
      <w:r w:rsidRPr="00090BB8">
        <w:rPr>
          <w:rFonts w:ascii="Garamond" w:hAnsi="Garamond"/>
          <w:sz w:val="22"/>
          <w:szCs w:val="22"/>
        </w:rPr>
        <w:t xml:space="preserve">The core requirement of this </w:t>
      </w:r>
      <w:r w:rsidR="00231266">
        <w:rPr>
          <w:rFonts w:ascii="Garamond" w:hAnsi="Garamond"/>
          <w:sz w:val="22"/>
          <w:szCs w:val="22"/>
        </w:rPr>
        <w:t xml:space="preserve">process </w:t>
      </w:r>
      <w:r w:rsidRPr="00090BB8">
        <w:rPr>
          <w:rFonts w:ascii="Garamond" w:hAnsi="Garamond"/>
          <w:sz w:val="22"/>
          <w:szCs w:val="22"/>
        </w:rPr>
        <w:t xml:space="preserve">is demonstrating that the final design was influenced by prioritizing design strategies in order to address specific health needs or best practices with specific outcomes and goals in mind. Document how the health analysis informed design and building form decisions in the project’s </w:t>
      </w:r>
      <w:r w:rsidR="00231266">
        <w:rPr>
          <w:rFonts w:ascii="Garamond" w:hAnsi="Garamond"/>
          <w:sz w:val="22"/>
          <w:szCs w:val="22"/>
        </w:rPr>
        <w:t>owner project requirements (OPR)</w:t>
      </w:r>
      <w:r w:rsidRPr="00090BB8">
        <w:rPr>
          <w:rFonts w:ascii="Garamond" w:hAnsi="Garamond"/>
          <w:sz w:val="22"/>
          <w:szCs w:val="22"/>
        </w:rPr>
        <w:t xml:space="preserve"> and basis of design (BOD), including modifications that were made in response to the findings and strategies.</w:t>
      </w:r>
    </w:p>
    <w:p w14:paraId="147E3241" w14:textId="77777777" w:rsidR="00796AD8" w:rsidRPr="00090BB8" w:rsidRDefault="00796AD8" w:rsidP="00796AD8">
      <w:pPr>
        <w:rPr>
          <w:rFonts w:ascii="Garamond" w:hAnsi="Garamond"/>
          <w:sz w:val="22"/>
          <w:szCs w:val="22"/>
        </w:rPr>
      </w:pPr>
    </w:p>
    <w:p w14:paraId="485AA4D4" w14:textId="77777777" w:rsidR="00796AD8" w:rsidRPr="00090BB8" w:rsidRDefault="00796AD8" w:rsidP="008F523A">
      <w:pPr>
        <w:pStyle w:val="Heading4"/>
      </w:pPr>
      <w:r w:rsidRPr="00090BB8">
        <w:t xml:space="preserve">STEP 7. Develop a monitoring and evaluation plan </w:t>
      </w:r>
    </w:p>
    <w:p w14:paraId="58724237" w14:textId="04ECEE3F" w:rsidR="00796AD8" w:rsidRPr="00090BB8" w:rsidRDefault="00796AD8" w:rsidP="00796AD8">
      <w:pPr>
        <w:rPr>
          <w:rFonts w:ascii="Garamond" w:hAnsi="Garamond"/>
          <w:sz w:val="22"/>
          <w:szCs w:val="22"/>
        </w:rPr>
      </w:pPr>
      <w:r w:rsidRPr="00090BB8">
        <w:rPr>
          <w:rFonts w:ascii="Garamond" w:hAnsi="Garamond"/>
          <w:sz w:val="22"/>
          <w:szCs w:val="22"/>
        </w:rPr>
        <w:t xml:space="preserve">Based on the list of selected strategies from step 6, develop a </w:t>
      </w:r>
      <w:r w:rsidR="003B1FE8">
        <w:rPr>
          <w:rFonts w:ascii="Garamond" w:hAnsi="Garamond"/>
          <w:sz w:val="22"/>
          <w:szCs w:val="22"/>
        </w:rPr>
        <w:t>continual improvement</w:t>
      </w:r>
      <w:r w:rsidRPr="00090BB8">
        <w:rPr>
          <w:rFonts w:ascii="Garamond" w:hAnsi="Garamond"/>
          <w:sz w:val="22"/>
          <w:szCs w:val="22"/>
        </w:rPr>
        <w:t xml:space="preserve"> plan with performance metrics to evaluate the project’s impact on occupant and community health throughout the project life cycle (design, construction and operations). While the project team responsible for new construction will not be responsible for operations, it is important to consider how decisions made during the design and construction phase will translate into performance metrics controlled by the operations team. </w:t>
      </w:r>
    </w:p>
    <w:p w14:paraId="326312B8" w14:textId="77777777" w:rsidR="00796AD8" w:rsidRPr="00090BB8" w:rsidRDefault="00796AD8" w:rsidP="00796AD8">
      <w:pPr>
        <w:rPr>
          <w:rFonts w:ascii="Garamond" w:hAnsi="Garamond"/>
          <w:sz w:val="22"/>
          <w:szCs w:val="22"/>
        </w:rPr>
      </w:pPr>
    </w:p>
    <w:p w14:paraId="1DD1F569" w14:textId="77777777" w:rsidR="00796AD8" w:rsidRPr="00090BB8" w:rsidRDefault="00796AD8" w:rsidP="008F523A">
      <w:pPr>
        <w:pStyle w:val="Heading4"/>
      </w:pPr>
      <w:r w:rsidRPr="00090BB8">
        <w:t>STEP 8. Transparency</w:t>
      </w:r>
    </w:p>
    <w:p w14:paraId="422B7192" w14:textId="165B8925" w:rsidR="00796AD8" w:rsidRDefault="00796AD8" w:rsidP="00796AD8">
      <w:pPr>
        <w:rPr>
          <w:rFonts w:ascii="Garamond" w:hAnsi="Garamond"/>
          <w:sz w:val="22"/>
          <w:szCs w:val="22"/>
        </w:rPr>
      </w:pPr>
      <w:r w:rsidRPr="00090BB8">
        <w:rPr>
          <w:rFonts w:ascii="Garamond" w:hAnsi="Garamond"/>
          <w:sz w:val="22"/>
          <w:szCs w:val="22"/>
        </w:rPr>
        <w:t xml:space="preserve">Share the outcomes from the </w:t>
      </w:r>
      <w:r w:rsidR="003B1FE8">
        <w:rPr>
          <w:rFonts w:ascii="Garamond" w:hAnsi="Garamond"/>
          <w:sz w:val="22"/>
          <w:szCs w:val="22"/>
        </w:rPr>
        <w:t>benchmarking</w:t>
      </w:r>
      <w:r w:rsidRPr="00090BB8">
        <w:rPr>
          <w:rFonts w:ascii="Garamond" w:hAnsi="Garamond"/>
          <w:sz w:val="22"/>
          <w:szCs w:val="22"/>
        </w:rPr>
        <w:t xml:space="preserve"> and evaluation with community partners and design team to identify lessons learned and support improved implementation in the future.</w:t>
      </w:r>
    </w:p>
    <w:p w14:paraId="17B0CF4C" w14:textId="77777777" w:rsidR="00796AD8" w:rsidRDefault="00796AD8" w:rsidP="00796AD8">
      <w:pPr>
        <w:rPr>
          <w:rFonts w:ascii="Garamond" w:hAnsi="Garamond"/>
          <w:b/>
          <w:sz w:val="22"/>
          <w:szCs w:val="22"/>
        </w:rPr>
      </w:pPr>
    </w:p>
    <w:p w14:paraId="750D679B" w14:textId="77777777" w:rsidR="00796AD8" w:rsidRPr="00EC6B12" w:rsidRDefault="00796AD8" w:rsidP="00796AD8">
      <w:pPr>
        <w:rPr>
          <w:rFonts w:ascii="Garamond" w:hAnsi="Garamond"/>
          <w:b/>
          <w:sz w:val="22"/>
          <w:szCs w:val="22"/>
        </w:rPr>
      </w:pPr>
      <w:r w:rsidRPr="00EC6B12">
        <w:rPr>
          <w:rFonts w:ascii="Garamond" w:hAnsi="Garamond"/>
          <w:b/>
          <w:sz w:val="22"/>
          <w:szCs w:val="22"/>
        </w:rPr>
        <w:t>Resources:</w:t>
      </w:r>
    </w:p>
    <w:p w14:paraId="1E4C8CB6" w14:textId="27946AA6" w:rsidR="00796AD8" w:rsidRPr="000329A9" w:rsidRDefault="000329A9" w:rsidP="000329A9">
      <w:pPr>
        <w:pStyle w:val="ListParagraph"/>
        <w:numPr>
          <w:ilvl w:val="0"/>
          <w:numId w:val="22"/>
        </w:numPr>
        <w:rPr>
          <w:rFonts w:ascii="Garamond" w:hAnsi="Garamond"/>
          <w:color w:val="000000" w:themeColor="text1"/>
          <w:sz w:val="22"/>
          <w:szCs w:val="22"/>
        </w:rPr>
      </w:pPr>
      <w:r>
        <w:rPr>
          <w:rFonts w:ascii="Garamond" w:hAnsi="Garamond"/>
          <w:color w:val="000000" w:themeColor="text1"/>
          <w:sz w:val="22"/>
          <w:szCs w:val="22"/>
        </w:rPr>
        <w:t xml:space="preserve">American Institute of Architects. (2007). </w:t>
      </w:r>
      <w:r w:rsidRPr="00EA7E1C">
        <w:rPr>
          <w:rFonts w:ascii="Garamond" w:hAnsi="Garamond"/>
          <w:i/>
          <w:color w:val="000000" w:themeColor="text1"/>
          <w:sz w:val="22"/>
          <w:szCs w:val="22"/>
        </w:rPr>
        <w:t>Integrated Project Delivery: A Guide</w:t>
      </w:r>
      <w:r>
        <w:rPr>
          <w:rFonts w:ascii="Garamond" w:hAnsi="Garamond"/>
          <w:i/>
          <w:color w:val="000000" w:themeColor="text1"/>
          <w:sz w:val="22"/>
          <w:szCs w:val="22"/>
        </w:rPr>
        <w:t>.</w:t>
      </w:r>
      <w:r w:rsidRPr="00EA7E1C">
        <w:rPr>
          <w:rFonts w:ascii="Garamond" w:hAnsi="Garamond"/>
          <w:color w:val="000000" w:themeColor="text1"/>
          <w:sz w:val="22"/>
          <w:szCs w:val="22"/>
        </w:rPr>
        <w:t xml:space="preserve"> </w:t>
      </w:r>
      <w:r>
        <w:rPr>
          <w:rFonts w:ascii="Garamond" w:hAnsi="Garamond"/>
          <w:color w:val="000000" w:themeColor="text1"/>
          <w:sz w:val="22"/>
          <w:szCs w:val="22"/>
        </w:rPr>
        <w:t xml:space="preserve">Retrieved from: </w:t>
      </w:r>
      <w:hyperlink r:id="rId32" w:history="1">
        <w:r w:rsidR="00796AD8" w:rsidRPr="000329A9">
          <w:rPr>
            <w:rStyle w:val="Hyperlink"/>
            <w:rFonts w:ascii="Garamond" w:hAnsi="Garamond"/>
            <w:sz w:val="22"/>
            <w:szCs w:val="22"/>
          </w:rPr>
          <w:t>https://info.aia.org/SiteObjects/files/IPD_Guide_2007.pdf</w:t>
        </w:r>
      </w:hyperlink>
    </w:p>
    <w:p w14:paraId="79BEEF11" w14:textId="3E90B2CB" w:rsidR="00796AD8" w:rsidRPr="00EA7E1C" w:rsidRDefault="000329A9" w:rsidP="000329A9">
      <w:pPr>
        <w:pStyle w:val="ListParagraph"/>
        <w:numPr>
          <w:ilvl w:val="0"/>
          <w:numId w:val="22"/>
        </w:numPr>
        <w:rPr>
          <w:rFonts w:ascii="Garamond" w:hAnsi="Garamond"/>
          <w:color w:val="000000" w:themeColor="text1"/>
          <w:sz w:val="22"/>
          <w:szCs w:val="22"/>
        </w:rPr>
      </w:pPr>
      <w:r>
        <w:rPr>
          <w:rFonts w:ascii="Garamond" w:hAnsi="Garamond"/>
          <w:color w:val="000000" w:themeColor="text1"/>
          <w:sz w:val="22"/>
          <w:szCs w:val="22"/>
        </w:rPr>
        <w:t xml:space="preserve">U.S. Green Building Council. (2017). </w:t>
      </w:r>
      <w:r w:rsidRPr="00EA7E1C">
        <w:rPr>
          <w:rFonts w:ascii="Garamond" w:hAnsi="Garamond"/>
          <w:i/>
          <w:color w:val="000000" w:themeColor="text1"/>
          <w:sz w:val="22"/>
          <w:szCs w:val="22"/>
        </w:rPr>
        <w:t>LEED BD+C: New Construction v4: Integrative Process for Health Promotion</w:t>
      </w:r>
      <w:r>
        <w:rPr>
          <w:rFonts w:ascii="Garamond" w:hAnsi="Garamond"/>
          <w:i/>
          <w:color w:val="000000" w:themeColor="text1"/>
          <w:sz w:val="22"/>
          <w:szCs w:val="22"/>
        </w:rPr>
        <w:t xml:space="preserve">. </w:t>
      </w:r>
      <w:r w:rsidRPr="00EA7E1C">
        <w:rPr>
          <w:rFonts w:ascii="Garamond" w:hAnsi="Garamond"/>
          <w:color w:val="000000" w:themeColor="text1"/>
          <w:sz w:val="22"/>
          <w:szCs w:val="22"/>
        </w:rPr>
        <w:t xml:space="preserve"> </w:t>
      </w:r>
      <w:r>
        <w:rPr>
          <w:rFonts w:ascii="Garamond" w:hAnsi="Garamond"/>
          <w:color w:val="000000" w:themeColor="text1"/>
          <w:sz w:val="22"/>
          <w:szCs w:val="22"/>
        </w:rPr>
        <w:t xml:space="preserve">Retrieved from: </w:t>
      </w:r>
      <w:r w:rsidR="00796AD8" w:rsidRPr="00EA7E1C">
        <w:rPr>
          <w:rFonts w:ascii="Garamond" w:hAnsi="Garamond"/>
          <w:color w:val="000000" w:themeColor="text1"/>
          <w:sz w:val="22"/>
          <w:szCs w:val="22"/>
        </w:rPr>
        <w:t>https://www.usgbc.org/node/10241565?view=language</w:t>
      </w:r>
    </w:p>
    <w:p w14:paraId="1273FB53" w14:textId="5E61EC29" w:rsidR="00CA4615" w:rsidRPr="001C44F3" w:rsidRDefault="000329A9" w:rsidP="001C44F3">
      <w:pPr>
        <w:pStyle w:val="ListParagraph"/>
        <w:numPr>
          <w:ilvl w:val="0"/>
          <w:numId w:val="22"/>
        </w:numPr>
        <w:rPr>
          <w:rFonts w:ascii="Garamond" w:hAnsi="Garamond"/>
          <w:color w:val="000000" w:themeColor="text1"/>
          <w:sz w:val="22"/>
          <w:szCs w:val="22"/>
        </w:rPr>
      </w:pPr>
      <w:r w:rsidRPr="000329A9">
        <w:rPr>
          <w:rFonts w:ascii="Garamond" w:hAnsi="Garamond"/>
          <w:color w:val="000000" w:themeColor="text1"/>
          <w:sz w:val="22"/>
          <w:szCs w:val="22"/>
        </w:rPr>
        <w:t>Intern</w:t>
      </w:r>
      <w:r>
        <w:rPr>
          <w:rFonts w:ascii="Garamond" w:hAnsi="Garamond"/>
          <w:color w:val="000000" w:themeColor="text1"/>
          <w:sz w:val="22"/>
          <w:szCs w:val="22"/>
        </w:rPr>
        <w:t xml:space="preserve">ational WELL Building Institute. (2017). </w:t>
      </w:r>
      <w:r w:rsidRPr="00EA7E1C">
        <w:rPr>
          <w:rFonts w:ascii="Garamond" w:hAnsi="Garamond"/>
          <w:i/>
          <w:color w:val="000000" w:themeColor="text1"/>
          <w:sz w:val="22"/>
          <w:szCs w:val="22"/>
        </w:rPr>
        <w:t>Integrative Design.</w:t>
      </w:r>
      <w:r>
        <w:rPr>
          <w:rFonts w:ascii="Garamond" w:hAnsi="Garamond"/>
          <w:color w:val="000000" w:themeColor="text1"/>
          <w:sz w:val="22"/>
          <w:szCs w:val="22"/>
        </w:rPr>
        <w:t xml:space="preserve"> Retrieved from: </w:t>
      </w:r>
      <w:r w:rsidR="00796AD8" w:rsidRPr="00D5138D">
        <w:rPr>
          <w:rFonts w:ascii="Garamond" w:hAnsi="Garamond"/>
          <w:color w:val="000000" w:themeColor="text1"/>
          <w:sz w:val="22"/>
          <w:szCs w:val="22"/>
        </w:rPr>
        <w:t>http://standard.wellcertified.com/mind/integrative-design</w:t>
      </w:r>
    </w:p>
    <w:p w14:paraId="3EB1FF6E" w14:textId="77777777" w:rsidR="001C44F3" w:rsidRDefault="001C44F3" w:rsidP="001C44F3">
      <w:pPr>
        <w:pStyle w:val="NormalWeb"/>
        <w:shd w:val="clear" w:color="auto" w:fill="FFFFFF"/>
        <w:spacing w:before="0" w:beforeAutospacing="0" w:after="120"/>
        <w:rPr>
          <w:rFonts w:ascii="Garamond" w:hAnsi="Garamond"/>
          <w:b/>
          <w:color w:val="000000" w:themeColor="text1"/>
        </w:rPr>
      </w:pPr>
    </w:p>
    <w:p w14:paraId="1061BEAF" w14:textId="77777777" w:rsidR="006525EE" w:rsidRDefault="006525EE">
      <w:pPr>
        <w:rPr>
          <w:rFonts w:ascii="Garamond" w:hAnsi="Garamond" w:cs="Times New Roman"/>
          <w:b/>
          <w:color w:val="000000" w:themeColor="text1"/>
        </w:rPr>
      </w:pPr>
      <w:r>
        <w:rPr>
          <w:rFonts w:ascii="Garamond" w:hAnsi="Garamond"/>
          <w:b/>
          <w:color w:val="000000" w:themeColor="text1"/>
        </w:rPr>
        <w:br w:type="page"/>
      </w:r>
    </w:p>
    <w:p w14:paraId="153700CC" w14:textId="02304B8F" w:rsidR="00EA7E1C" w:rsidRDefault="00CA4615" w:rsidP="00A03DB7">
      <w:pPr>
        <w:pStyle w:val="Heading2"/>
        <w:rPr>
          <w:bCs/>
          <w:color w:val="222222"/>
          <w:sz w:val="22"/>
          <w:szCs w:val="22"/>
        </w:rPr>
      </w:pPr>
      <w:r w:rsidRPr="00712957">
        <w:lastRenderedPageBreak/>
        <w:t xml:space="preserve">Appendix </w:t>
      </w:r>
      <w:r w:rsidR="0020436E" w:rsidRPr="00712957">
        <w:t>D</w:t>
      </w:r>
      <w:r w:rsidRPr="00712957">
        <w:t xml:space="preserve">: </w:t>
      </w:r>
      <w:bookmarkStart w:id="2" w:name="_Hlk496188435"/>
      <w:r w:rsidRPr="00712957">
        <w:t xml:space="preserve">Measuring </w:t>
      </w:r>
      <w:r w:rsidR="003139A0" w:rsidRPr="00712957">
        <w:t>H</w:t>
      </w:r>
      <w:r w:rsidRPr="00712957">
        <w:t xml:space="preserve">ealth and </w:t>
      </w:r>
      <w:r w:rsidR="003139A0" w:rsidRPr="00712957">
        <w:t>W</w:t>
      </w:r>
      <w:r w:rsidRPr="00712957">
        <w:t xml:space="preserve">ellness: </w:t>
      </w:r>
      <w:r w:rsidR="005C2C7A" w:rsidRPr="00712957">
        <w:t>Social and Sustainable Return on Investment (</w:t>
      </w:r>
      <w:r w:rsidR="006525EE">
        <w:t>SROI/</w:t>
      </w:r>
      <w:r w:rsidRPr="00712957">
        <w:t>S</w:t>
      </w:r>
      <w:r w:rsidR="00191D2F" w:rsidRPr="00712957">
        <w:t>-</w:t>
      </w:r>
      <w:r w:rsidRPr="00712957">
        <w:t>ROI</w:t>
      </w:r>
      <w:bookmarkEnd w:id="2"/>
      <w:r w:rsidR="00EA7E1C" w:rsidRPr="00712957">
        <w:t>)</w:t>
      </w:r>
      <w:r w:rsidR="00EA7E1C" w:rsidRPr="006262EE">
        <w:rPr>
          <w:bCs/>
          <w:color w:val="222222"/>
          <w:sz w:val="22"/>
          <w:szCs w:val="22"/>
        </w:rPr>
        <w:t xml:space="preserve"> </w:t>
      </w:r>
    </w:p>
    <w:p w14:paraId="483C7A86" w14:textId="7A264A87" w:rsidR="00651D28" w:rsidRPr="006262EE" w:rsidRDefault="00EA7E1C" w:rsidP="00EA7E1C">
      <w:pPr>
        <w:pStyle w:val="NormalWeb"/>
        <w:shd w:val="clear" w:color="auto" w:fill="FFFFFF"/>
        <w:spacing w:before="120" w:after="120"/>
        <w:rPr>
          <w:rFonts w:ascii="Garamond" w:hAnsi="Garamond"/>
          <w:bCs/>
          <w:color w:val="222222"/>
          <w:sz w:val="22"/>
          <w:szCs w:val="22"/>
        </w:rPr>
      </w:pPr>
      <w:r w:rsidRPr="006262EE">
        <w:rPr>
          <w:rFonts w:ascii="Garamond" w:hAnsi="Garamond"/>
          <w:bCs/>
          <w:color w:val="222222"/>
          <w:sz w:val="22"/>
          <w:szCs w:val="22"/>
        </w:rPr>
        <w:t>Through</w:t>
      </w:r>
      <w:r w:rsidR="00651D28" w:rsidRPr="006262EE">
        <w:rPr>
          <w:rFonts w:ascii="Garamond" w:hAnsi="Garamond"/>
          <w:bCs/>
          <w:color w:val="222222"/>
          <w:sz w:val="22"/>
          <w:szCs w:val="22"/>
        </w:rPr>
        <w:t xml:space="preserve"> the twentieth century, academics, investors, and communities have attempted to understand the impacts of develop</w:t>
      </w:r>
      <w:r w:rsidR="00651D28">
        <w:rPr>
          <w:rFonts w:ascii="Garamond" w:hAnsi="Garamond"/>
          <w:bCs/>
          <w:color w:val="222222"/>
          <w:sz w:val="22"/>
          <w:szCs w:val="22"/>
        </w:rPr>
        <w:t>ment</w:t>
      </w:r>
      <w:r w:rsidR="00651D28" w:rsidRPr="006262EE">
        <w:rPr>
          <w:rFonts w:ascii="Garamond" w:hAnsi="Garamond"/>
          <w:bCs/>
          <w:color w:val="222222"/>
          <w:sz w:val="22"/>
          <w:szCs w:val="22"/>
        </w:rPr>
        <w:t xml:space="preserve"> and investment beyond the</w:t>
      </w:r>
      <w:r w:rsidR="00651D28">
        <w:rPr>
          <w:rFonts w:ascii="Garamond" w:hAnsi="Garamond"/>
          <w:bCs/>
          <w:color w:val="222222"/>
          <w:sz w:val="22"/>
          <w:szCs w:val="22"/>
        </w:rPr>
        <w:t>ir</w:t>
      </w:r>
      <w:r w:rsidR="00651D28" w:rsidRPr="006262EE">
        <w:rPr>
          <w:rFonts w:ascii="Garamond" w:hAnsi="Garamond"/>
          <w:bCs/>
          <w:color w:val="222222"/>
          <w:sz w:val="22"/>
          <w:szCs w:val="22"/>
        </w:rPr>
        <w:t xml:space="preserve"> monetary benefit</w:t>
      </w:r>
      <w:r w:rsidR="00651D28">
        <w:rPr>
          <w:rFonts w:ascii="Garamond" w:hAnsi="Garamond"/>
          <w:bCs/>
          <w:color w:val="222222"/>
          <w:sz w:val="22"/>
          <w:szCs w:val="22"/>
        </w:rPr>
        <w:t>s</w:t>
      </w:r>
      <w:r w:rsidR="00651D28" w:rsidRPr="006262EE">
        <w:rPr>
          <w:rFonts w:ascii="Garamond" w:hAnsi="Garamond"/>
          <w:bCs/>
          <w:color w:val="222222"/>
          <w:sz w:val="22"/>
          <w:szCs w:val="22"/>
        </w:rPr>
        <w:t>.</w:t>
      </w:r>
      <w:r w:rsidR="00651D28">
        <w:rPr>
          <w:rFonts w:ascii="Garamond" w:hAnsi="Garamond"/>
          <w:b/>
          <w:bCs/>
          <w:color w:val="222222"/>
          <w:sz w:val="22"/>
          <w:szCs w:val="22"/>
        </w:rPr>
        <w:t xml:space="preserve"> </w:t>
      </w:r>
      <w:r w:rsidR="00651D28" w:rsidRPr="006262EE">
        <w:rPr>
          <w:rFonts w:ascii="Garamond" w:hAnsi="Garamond"/>
          <w:bCs/>
          <w:color w:val="222222"/>
          <w:sz w:val="22"/>
          <w:szCs w:val="22"/>
        </w:rPr>
        <w:t>This led to the development of Cost Benefit Analysis, which is the systematic analysis of the costs and benefits of various alternatives for an action.</w:t>
      </w:r>
      <w:r w:rsidR="00651D28">
        <w:rPr>
          <w:rFonts w:ascii="Garamond" w:hAnsi="Garamond"/>
          <w:bCs/>
          <w:color w:val="222222"/>
          <w:sz w:val="22"/>
          <w:szCs w:val="22"/>
        </w:rPr>
        <w:t xml:space="preserve"> The development of tools to conduct this analysis paralleled the development of the environmental and sustainable design movements and ultimately yielded the “Triple Bottom Line” focus on economic, environmental, and social impacts of development. </w:t>
      </w:r>
    </w:p>
    <w:p w14:paraId="53353C9F" w14:textId="662F0111" w:rsidR="00651D28" w:rsidRPr="00077BEF" w:rsidRDefault="00651D28" w:rsidP="00EA7E1C">
      <w:pPr>
        <w:pStyle w:val="NormalWeb"/>
        <w:shd w:val="clear" w:color="auto" w:fill="FFFFFF"/>
        <w:spacing w:before="120" w:after="120"/>
        <w:rPr>
          <w:rFonts w:ascii="Garamond" w:hAnsi="Garamond"/>
          <w:bCs/>
          <w:color w:val="222222"/>
          <w:sz w:val="22"/>
          <w:szCs w:val="22"/>
        </w:rPr>
      </w:pPr>
      <w:r w:rsidRPr="006262EE">
        <w:rPr>
          <w:rFonts w:ascii="Garamond" w:hAnsi="Garamond"/>
          <w:bCs/>
          <w:color w:val="222222"/>
          <w:sz w:val="22"/>
          <w:szCs w:val="22"/>
        </w:rPr>
        <w:t>In 2000,</w:t>
      </w:r>
      <w:r>
        <w:rPr>
          <w:rFonts w:ascii="Garamond" w:hAnsi="Garamond"/>
          <w:b/>
          <w:bCs/>
          <w:color w:val="222222"/>
          <w:sz w:val="22"/>
          <w:szCs w:val="22"/>
        </w:rPr>
        <w:t xml:space="preserve"> </w:t>
      </w:r>
      <w:r w:rsidRPr="00077BEF">
        <w:rPr>
          <w:rFonts w:ascii="Garamond" w:hAnsi="Garamond"/>
          <w:b/>
          <w:bCs/>
          <w:color w:val="222222"/>
          <w:sz w:val="22"/>
          <w:szCs w:val="22"/>
        </w:rPr>
        <w:t>Social return on investment (SROI)</w:t>
      </w:r>
      <w:r>
        <w:rPr>
          <w:rFonts w:ascii="Garamond" w:hAnsi="Garamond"/>
          <w:b/>
          <w:bCs/>
          <w:color w:val="222222"/>
          <w:sz w:val="22"/>
          <w:szCs w:val="22"/>
        </w:rPr>
        <w:t>,</w:t>
      </w:r>
      <w:r w:rsidRPr="00077BEF">
        <w:rPr>
          <w:rFonts w:ascii="Garamond" w:hAnsi="Garamond"/>
          <w:bCs/>
          <w:color w:val="222222"/>
          <w:sz w:val="22"/>
          <w:szCs w:val="22"/>
        </w:rPr>
        <w:t xml:space="preserve"> a method for measuring value</w:t>
      </w:r>
      <w:r>
        <w:rPr>
          <w:rFonts w:ascii="Garamond" w:hAnsi="Garamond"/>
          <w:bCs/>
          <w:color w:val="222222"/>
          <w:sz w:val="22"/>
          <w:szCs w:val="22"/>
        </w:rPr>
        <w:t xml:space="preserve"> beyond the direct financial value</w:t>
      </w:r>
      <w:r w:rsidRPr="00077BEF">
        <w:rPr>
          <w:rFonts w:ascii="Garamond" w:hAnsi="Garamond"/>
          <w:bCs/>
          <w:color w:val="222222"/>
          <w:sz w:val="22"/>
          <w:szCs w:val="22"/>
        </w:rPr>
        <w:t xml:space="preserve"> </w:t>
      </w:r>
      <w:r>
        <w:rPr>
          <w:rFonts w:ascii="Garamond" w:hAnsi="Garamond"/>
          <w:bCs/>
          <w:color w:val="222222"/>
          <w:sz w:val="22"/>
          <w:szCs w:val="22"/>
        </w:rPr>
        <w:t>(i.e., environmental and social values</w:t>
      </w:r>
      <w:r w:rsidRPr="00077BEF">
        <w:rPr>
          <w:rFonts w:ascii="Garamond" w:hAnsi="Garamond"/>
          <w:bCs/>
          <w:color w:val="222222"/>
          <w:sz w:val="22"/>
          <w:szCs w:val="22"/>
        </w:rPr>
        <w:t>) relative to resources invested</w:t>
      </w:r>
      <w:r w:rsidR="00F94543">
        <w:rPr>
          <w:rFonts w:ascii="Garamond" w:hAnsi="Garamond"/>
          <w:bCs/>
          <w:color w:val="222222"/>
          <w:sz w:val="22"/>
          <w:szCs w:val="22"/>
        </w:rPr>
        <w:t>,</w:t>
      </w:r>
      <w:r>
        <w:rPr>
          <w:rFonts w:ascii="Garamond" w:hAnsi="Garamond"/>
          <w:bCs/>
          <w:color w:val="222222"/>
          <w:sz w:val="22"/>
          <w:szCs w:val="22"/>
        </w:rPr>
        <w:t xml:space="preserve"> was developed to address investors</w:t>
      </w:r>
      <w:r w:rsidR="00892AF6">
        <w:rPr>
          <w:rFonts w:ascii="Garamond" w:hAnsi="Garamond"/>
          <w:bCs/>
          <w:color w:val="222222"/>
          <w:sz w:val="22"/>
          <w:szCs w:val="22"/>
        </w:rPr>
        <w:t>’</w:t>
      </w:r>
      <w:r>
        <w:rPr>
          <w:rFonts w:ascii="Garamond" w:hAnsi="Garamond"/>
          <w:bCs/>
          <w:color w:val="222222"/>
          <w:sz w:val="22"/>
          <w:szCs w:val="22"/>
        </w:rPr>
        <w:t xml:space="preserve"> need for a financial evaluation of non-financial impacts</w:t>
      </w:r>
      <w:r w:rsidRPr="00077BEF">
        <w:rPr>
          <w:rFonts w:ascii="Garamond" w:hAnsi="Garamond"/>
          <w:bCs/>
          <w:color w:val="222222"/>
          <w:sz w:val="22"/>
          <w:szCs w:val="22"/>
        </w:rPr>
        <w:t xml:space="preserve">. </w:t>
      </w:r>
      <w:r>
        <w:rPr>
          <w:rFonts w:ascii="Garamond" w:hAnsi="Garamond"/>
          <w:bCs/>
          <w:color w:val="222222"/>
          <w:sz w:val="22"/>
          <w:szCs w:val="22"/>
        </w:rPr>
        <w:t xml:space="preserve">The Social ROI methodology may be used to evaluate any investment, development, or policy in order to understand the impact on stakeholders.  </w:t>
      </w:r>
    </w:p>
    <w:p w14:paraId="3C6386B7" w14:textId="38EE1A83" w:rsidR="00651D28" w:rsidRPr="00103242" w:rsidRDefault="00651D28" w:rsidP="00EA7E1C">
      <w:pPr>
        <w:pStyle w:val="NormalWeb"/>
        <w:shd w:val="clear" w:color="auto" w:fill="FFFFFF"/>
        <w:spacing w:before="120" w:after="120"/>
        <w:rPr>
          <w:rFonts w:ascii="Garamond" w:hAnsi="Garamond"/>
          <w:bCs/>
          <w:color w:val="222222"/>
          <w:sz w:val="22"/>
          <w:szCs w:val="22"/>
        </w:rPr>
      </w:pPr>
      <w:r w:rsidRPr="00077BEF">
        <w:rPr>
          <w:rFonts w:ascii="Garamond" w:hAnsi="Garamond"/>
          <w:bCs/>
          <w:color w:val="222222"/>
          <w:sz w:val="22"/>
          <w:szCs w:val="22"/>
        </w:rPr>
        <w:t>The SROI method</w:t>
      </w:r>
      <w:r>
        <w:rPr>
          <w:rFonts w:ascii="Garamond" w:hAnsi="Garamond"/>
          <w:bCs/>
          <w:color w:val="222222"/>
          <w:sz w:val="22"/>
          <w:szCs w:val="22"/>
        </w:rPr>
        <w:t xml:space="preserve"> is a </w:t>
      </w:r>
      <w:r w:rsidRPr="00077BEF">
        <w:rPr>
          <w:rFonts w:ascii="Garamond" w:hAnsi="Garamond"/>
          <w:bCs/>
          <w:color w:val="222222"/>
          <w:sz w:val="22"/>
          <w:szCs w:val="22"/>
        </w:rPr>
        <w:t xml:space="preserve">quantitative approach to </w:t>
      </w:r>
      <w:r>
        <w:rPr>
          <w:rFonts w:ascii="Garamond" w:hAnsi="Garamond"/>
          <w:bCs/>
          <w:color w:val="222222"/>
          <w:sz w:val="22"/>
          <w:szCs w:val="22"/>
        </w:rPr>
        <w:t>identify</w:t>
      </w:r>
      <w:r w:rsidRPr="00077BEF">
        <w:rPr>
          <w:rFonts w:ascii="Garamond" w:hAnsi="Garamond"/>
          <w:bCs/>
          <w:color w:val="222222"/>
          <w:sz w:val="22"/>
          <w:szCs w:val="22"/>
        </w:rPr>
        <w:t xml:space="preserve">ing and </w:t>
      </w:r>
      <w:r>
        <w:rPr>
          <w:rFonts w:ascii="Garamond" w:hAnsi="Garamond"/>
          <w:bCs/>
          <w:color w:val="222222"/>
          <w:sz w:val="22"/>
          <w:szCs w:val="22"/>
        </w:rPr>
        <w:t>evaluating</w:t>
      </w:r>
      <w:r w:rsidRPr="00077BEF">
        <w:rPr>
          <w:rFonts w:ascii="Garamond" w:hAnsi="Garamond"/>
          <w:bCs/>
          <w:color w:val="222222"/>
          <w:sz w:val="22"/>
          <w:szCs w:val="22"/>
        </w:rPr>
        <w:t xml:space="preserve"> the impacts of a project, organization, </w:t>
      </w:r>
      <w:r>
        <w:rPr>
          <w:rFonts w:ascii="Garamond" w:hAnsi="Garamond"/>
          <w:bCs/>
          <w:color w:val="222222"/>
          <w:sz w:val="22"/>
          <w:szCs w:val="22"/>
        </w:rPr>
        <w:t xml:space="preserve">company, </w:t>
      </w:r>
      <w:r w:rsidRPr="00077BEF">
        <w:rPr>
          <w:rFonts w:ascii="Garamond" w:hAnsi="Garamond"/>
          <w:bCs/>
          <w:color w:val="222222"/>
          <w:sz w:val="22"/>
          <w:szCs w:val="22"/>
        </w:rPr>
        <w:t xml:space="preserve">or </w:t>
      </w:r>
      <w:r>
        <w:rPr>
          <w:rFonts w:ascii="Garamond" w:hAnsi="Garamond"/>
          <w:bCs/>
          <w:color w:val="222222"/>
          <w:sz w:val="22"/>
          <w:szCs w:val="22"/>
        </w:rPr>
        <w:t xml:space="preserve">public </w:t>
      </w:r>
      <w:r w:rsidRPr="00077BEF">
        <w:rPr>
          <w:rFonts w:ascii="Garamond" w:hAnsi="Garamond"/>
          <w:bCs/>
          <w:color w:val="222222"/>
          <w:sz w:val="22"/>
          <w:szCs w:val="22"/>
        </w:rPr>
        <w:t xml:space="preserve">policy. It </w:t>
      </w:r>
      <w:r>
        <w:rPr>
          <w:rFonts w:ascii="Garamond" w:hAnsi="Garamond"/>
          <w:bCs/>
          <w:color w:val="222222"/>
          <w:sz w:val="22"/>
          <w:szCs w:val="22"/>
        </w:rPr>
        <w:t>utilizes ‘proxy’ values to integrated stakeholders’ impacts into the accounting of the valuation of any effort. The goal is to include the voice</w:t>
      </w:r>
      <w:r w:rsidR="006952C9">
        <w:rPr>
          <w:rFonts w:ascii="Garamond" w:hAnsi="Garamond"/>
          <w:bCs/>
          <w:color w:val="222222"/>
          <w:sz w:val="22"/>
          <w:szCs w:val="22"/>
        </w:rPr>
        <w:t>s</w:t>
      </w:r>
      <w:r>
        <w:rPr>
          <w:rFonts w:ascii="Garamond" w:hAnsi="Garamond"/>
          <w:bCs/>
          <w:color w:val="222222"/>
          <w:sz w:val="22"/>
          <w:szCs w:val="22"/>
        </w:rPr>
        <w:t xml:space="preserve"> and concerns of those stakeholders who are often excluded from the decision-making process. </w:t>
      </w:r>
    </w:p>
    <w:p w14:paraId="5133E3FC" w14:textId="217BE3FD" w:rsidR="00651D28" w:rsidRPr="00077BEF" w:rsidRDefault="00651D28" w:rsidP="00EA7E1C">
      <w:pPr>
        <w:pStyle w:val="NormalWeb"/>
        <w:shd w:val="clear" w:color="auto" w:fill="FFFFFF"/>
        <w:spacing w:before="120" w:beforeAutospacing="0" w:after="120" w:afterAutospacing="0"/>
        <w:rPr>
          <w:rFonts w:ascii="Garamond" w:hAnsi="Garamond"/>
          <w:color w:val="222222"/>
          <w:sz w:val="22"/>
          <w:szCs w:val="22"/>
        </w:rPr>
      </w:pPr>
      <w:r>
        <w:rPr>
          <w:rFonts w:ascii="Garamond" w:hAnsi="Garamond"/>
          <w:bCs/>
          <w:color w:val="222222"/>
          <w:sz w:val="22"/>
          <w:szCs w:val="22"/>
        </w:rPr>
        <w:t>A similar methodology stemming from the Total Cost Assessment (TCA)</w:t>
      </w:r>
      <w:r w:rsidR="006952C9">
        <w:rPr>
          <w:rFonts w:ascii="Garamond" w:hAnsi="Garamond"/>
          <w:bCs/>
          <w:color w:val="222222"/>
          <w:sz w:val="22"/>
          <w:szCs w:val="22"/>
        </w:rPr>
        <w:t xml:space="preserve"> </w:t>
      </w:r>
      <w:r>
        <w:rPr>
          <w:rFonts w:ascii="Garamond" w:hAnsi="Garamond"/>
          <w:bCs/>
          <w:color w:val="222222"/>
          <w:sz w:val="22"/>
          <w:szCs w:val="22"/>
        </w:rPr>
        <w:t>tools developed by the American Institute for Chemical Engineers</w:t>
      </w:r>
      <w:r w:rsidRPr="00DC2259">
        <w:rPr>
          <w:rFonts w:ascii="Garamond" w:hAnsi="Garamond"/>
          <w:bCs/>
          <w:color w:val="222222"/>
          <w:sz w:val="22"/>
          <w:szCs w:val="22"/>
        </w:rPr>
        <w:t>,</w:t>
      </w:r>
      <w:r>
        <w:rPr>
          <w:rFonts w:ascii="Garamond" w:hAnsi="Garamond"/>
          <w:b/>
          <w:bCs/>
          <w:color w:val="222222"/>
          <w:sz w:val="22"/>
          <w:szCs w:val="22"/>
        </w:rPr>
        <w:t xml:space="preserve"> </w:t>
      </w:r>
      <w:r w:rsidRPr="00077BEF">
        <w:rPr>
          <w:rFonts w:ascii="Garamond" w:hAnsi="Garamond"/>
          <w:b/>
          <w:bCs/>
          <w:color w:val="222222"/>
          <w:sz w:val="22"/>
          <w:szCs w:val="22"/>
        </w:rPr>
        <w:t>Sustainable return on investment</w:t>
      </w:r>
      <w:r w:rsidRPr="00077BEF">
        <w:rPr>
          <w:rStyle w:val="apple-converted-space"/>
          <w:rFonts w:ascii="Garamond" w:hAnsi="Garamond"/>
          <w:color w:val="222222"/>
          <w:sz w:val="22"/>
          <w:szCs w:val="22"/>
        </w:rPr>
        <w:t> </w:t>
      </w:r>
      <w:r w:rsidRPr="00077BEF">
        <w:rPr>
          <w:rFonts w:ascii="Garamond" w:hAnsi="Garamond"/>
          <w:color w:val="222222"/>
          <w:sz w:val="22"/>
          <w:szCs w:val="22"/>
        </w:rPr>
        <w:t xml:space="preserve">(S-ROI) is </w:t>
      </w:r>
      <w:r>
        <w:rPr>
          <w:rFonts w:ascii="Garamond" w:hAnsi="Garamond"/>
          <w:color w:val="222222"/>
          <w:sz w:val="22"/>
          <w:szCs w:val="22"/>
        </w:rPr>
        <w:t xml:space="preserve">specifically focused on the environmental, economic and social impacts of infrastructure, community development, and public policy (e.g. bridges, highways, buildings, and zoning codes). Unlike Social ROI, S-ROI integrates environmental impacts into the financial evaluation of a project. Unlike TCA, S-ROI looks at benefits in addition to costs. S-ROI aims to assess projects on a broader range of externalities’ costs and benefits in order to empower stakeholders to make better decisions that affect the broader public realm. </w:t>
      </w:r>
    </w:p>
    <w:p w14:paraId="4EBE1BA7" w14:textId="77777777" w:rsidR="00651D28" w:rsidRPr="00077BEF" w:rsidRDefault="00651D28" w:rsidP="00EA7E1C">
      <w:pPr>
        <w:pStyle w:val="NormalWeb"/>
        <w:shd w:val="clear" w:color="auto" w:fill="FFFFFF"/>
        <w:spacing w:before="120" w:after="120"/>
        <w:rPr>
          <w:rFonts w:ascii="Garamond" w:hAnsi="Garamond"/>
          <w:color w:val="222222"/>
          <w:sz w:val="22"/>
          <w:szCs w:val="22"/>
        </w:rPr>
      </w:pPr>
      <w:r w:rsidRPr="00077BEF">
        <w:rPr>
          <w:rFonts w:ascii="Garamond" w:hAnsi="Garamond"/>
          <w:color w:val="222222"/>
          <w:sz w:val="22"/>
          <w:szCs w:val="22"/>
        </w:rPr>
        <w:t xml:space="preserve">S-ROI </w:t>
      </w:r>
      <w:r>
        <w:rPr>
          <w:rFonts w:ascii="Garamond" w:hAnsi="Garamond"/>
          <w:color w:val="222222"/>
          <w:sz w:val="22"/>
          <w:szCs w:val="22"/>
        </w:rPr>
        <w:t>integrates</w:t>
      </w:r>
      <w:r w:rsidRPr="00077BEF">
        <w:rPr>
          <w:rFonts w:ascii="Garamond" w:hAnsi="Garamond"/>
          <w:color w:val="222222"/>
          <w:sz w:val="22"/>
          <w:szCs w:val="22"/>
        </w:rPr>
        <w:t xml:space="preserve"> monetized models of</w:t>
      </w:r>
      <w:r>
        <w:rPr>
          <w:rFonts w:ascii="Garamond" w:hAnsi="Garamond"/>
          <w:color w:val="222222"/>
          <w:sz w:val="22"/>
          <w:szCs w:val="22"/>
        </w:rPr>
        <w:t xml:space="preserve"> non-financial benefits and costs with traditional cost models to develop a more robust view of a project’s total impact</w:t>
      </w:r>
      <w:r w:rsidRPr="00077BEF">
        <w:rPr>
          <w:rFonts w:ascii="Garamond" w:hAnsi="Garamond"/>
          <w:color w:val="222222"/>
          <w:sz w:val="22"/>
          <w:szCs w:val="22"/>
        </w:rPr>
        <w:t xml:space="preserve">. </w:t>
      </w:r>
      <w:r>
        <w:rPr>
          <w:rFonts w:ascii="Garamond" w:hAnsi="Garamond"/>
          <w:color w:val="222222"/>
          <w:sz w:val="22"/>
          <w:szCs w:val="22"/>
        </w:rPr>
        <w:t>These non-financial monetized models value such outcomes as emissions avoided, resource use avoided</w:t>
      </w:r>
      <w:r w:rsidRPr="00077BEF">
        <w:rPr>
          <w:rFonts w:ascii="Garamond" w:hAnsi="Garamond"/>
          <w:color w:val="222222"/>
          <w:sz w:val="22"/>
          <w:szCs w:val="22"/>
        </w:rPr>
        <w:t xml:space="preserve">, </w:t>
      </w:r>
      <w:r>
        <w:rPr>
          <w:rFonts w:ascii="Garamond" w:hAnsi="Garamond"/>
          <w:color w:val="222222"/>
          <w:sz w:val="22"/>
          <w:szCs w:val="22"/>
        </w:rPr>
        <w:t xml:space="preserve">public health </w:t>
      </w:r>
      <w:r w:rsidRPr="00077BEF">
        <w:rPr>
          <w:rFonts w:ascii="Garamond" w:hAnsi="Garamond"/>
          <w:color w:val="222222"/>
          <w:sz w:val="22"/>
          <w:szCs w:val="22"/>
        </w:rPr>
        <w:t>improvements</w:t>
      </w:r>
      <w:r>
        <w:rPr>
          <w:rFonts w:ascii="Garamond" w:hAnsi="Garamond"/>
          <w:color w:val="222222"/>
          <w:sz w:val="22"/>
          <w:szCs w:val="22"/>
        </w:rPr>
        <w:t xml:space="preserve">, and worker productivity. </w:t>
      </w:r>
      <w:r w:rsidRPr="00077BEF">
        <w:rPr>
          <w:rFonts w:ascii="Garamond" w:hAnsi="Garamond"/>
          <w:color w:val="222222"/>
          <w:sz w:val="22"/>
          <w:szCs w:val="22"/>
        </w:rPr>
        <w:t xml:space="preserve">Quantifying these </w:t>
      </w:r>
      <w:r>
        <w:rPr>
          <w:rFonts w:ascii="Garamond" w:hAnsi="Garamond"/>
          <w:color w:val="222222"/>
          <w:sz w:val="22"/>
          <w:szCs w:val="22"/>
        </w:rPr>
        <w:t xml:space="preserve">intangible values allows them to be incorporated into the traditional decision-making process. </w:t>
      </w:r>
    </w:p>
    <w:p w14:paraId="6E37BF17" w14:textId="77777777" w:rsidR="00651D28" w:rsidRPr="00EE709E" w:rsidRDefault="00651D28" w:rsidP="00EA7E1C">
      <w:pPr>
        <w:pStyle w:val="NormalWeb"/>
        <w:shd w:val="clear" w:color="auto" w:fill="FFFFFF"/>
        <w:spacing w:before="120" w:after="120"/>
        <w:rPr>
          <w:rFonts w:ascii="Garamond" w:hAnsi="Garamond"/>
          <w:color w:val="222222"/>
          <w:sz w:val="22"/>
          <w:szCs w:val="22"/>
        </w:rPr>
      </w:pPr>
      <w:r>
        <w:rPr>
          <w:rFonts w:ascii="Garamond" w:hAnsi="Garamond"/>
          <w:color w:val="222222"/>
          <w:sz w:val="22"/>
          <w:szCs w:val="22"/>
        </w:rPr>
        <w:t xml:space="preserve">Unlike S-ROI, </w:t>
      </w:r>
      <w:r w:rsidRPr="00EE709E">
        <w:rPr>
          <w:rFonts w:ascii="Garamond" w:hAnsi="Garamond"/>
          <w:b/>
          <w:color w:val="222222"/>
          <w:sz w:val="22"/>
          <w:szCs w:val="22"/>
        </w:rPr>
        <w:t>Triple Bottom Line Cost Benefit Analysis (TBL-CBA</w:t>
      </w:r>
      <w:r w:rsidRPr="00EE709E">
        <w:rPr>
          <w:rFonts w:ascii="Garamond" w:hAnsi="Garamond"/>
          <w:color w:val="222222"/>
          <w:sz w:val="22"/>
          <w:szCs w:val="22"/>
        </w:rPr>
        <w:t>) is an economic method</w:t>
      </w:r>
      <w:r>
        <w:rPr>
          <w:rFonts w:ascii="Garamond" w:hAnsi="Garamond"/>
          <w:color w:val="222222"/>
          <w:sz w:val="22"/>
          <w:szCs w:val="22"/>
        </w:rPr>
        <w:t>ology</w:t>
      </w:r>
      <w:r w:rsidRPr="00EE709E">
        <w:rPr>
          <w:rFonts w:ascii="Garamond" w:hAnsi="Garamond"/>
          <w:color w:val="222222"/>
          <w:sz w:val="22"/>
          <w:szCs w:val="22"/>
        </w:rPr>
        <w:t xml:space="preserve"> that </w:t>
      </w:r>
      <w:r>
        <w:rPr>
          <w:rFonts w:ascii="Garamond" w:hAnsi="Garamond"/>
          <w:color w:val="222222"/>
          <w:sz w:val="22"/>
          <w:szCs w:val="22"/>
        </w:rPr>
        <w:t>integrates</w:t>
      </w:r>
      <w:r w:rsidRPr="00EE709E">
        <w:rPr>
          <w:rFonts w:ascii="Garamond" w:hAnsi="Garamond"/>
          <w:color w:val="222222"/>
          <w:sz w:val="22"/>
          <w:szCs w:val="22"/>
        </w:rPr>
        <w:t xml:space="preserve"> cost benefit analysis (CBA) and life cycle cost analysis (LCCA) across the triple bottom line (TBL) to </w:t>
      </w:r>
      <w:r>
        <w:rPr>
          <w:rFonts w:ascii="Garamond" w:hAnsi="Garamond"/>
          <w:color w:val="222222"/>
          <w:sz w:val="22"/>
          <w:szCs w:val="22"/>
        </w:rPr>
        <w:t>value</w:t>
      </w:r>
      <w:r w:rsidRPr="00EE709E">
        <w:rPr>
          <w:rFonts w:ascii="Garamond" w:hAnsi="Garamond"/>
          <w:color w:val="222222"/>
          <w:sz w:val="22"/>
          <w:szCs w:val="22"/>
        </w:rPr>
        <w:t xml:space="preserve"> costs and benefits </w:t>
      </w:r>
      <w:r>
        <w:rPr>
          <w:rFonts w:ascii="Garamond" w:hAnsi="Garamond"/>
          <w:color w:val="222222"/>
          <w:sz w:val="22"/>
          <w:szCs w:val="22"/>
        </w:rPr>
        <w:t>of a particular project or policy</w:t>
      </w:r>
      <w:r w:rsidRPr="00EE709E">
        <w:rPr>
          <w:rFonts w:ascii="Garamond" w:hAnsi="Garamond"/>
          <w:color w:val="222222"/>
          <w:sz w:val="22"/>
          <w:szCs w:val="22"/>
        </w:rPr>
        <w:t xml:space="preserve">. The TBL-CBA process </w:t>
      </w:r>
      <w:r>
        <w:rPr>
          <w:rFonts w:ascii="Garamond" w:hAnsi="Garamond"/>
          <w:color w:val="222222"/>
          <w:sz w:val="22"/>
          <w:szCs w:val="22"/>
        </w:rPr>
        <w:t xml:space="preserve">evaluates </w:t>
      </w:r>
      <w:r w:rsidRPr="00EE709E">
        <w:rPr>
          <w:rFonts w:ascii="Garamond" w:hAnsi="Garamond"/>
          <w:color w:val="222222"/>
          <w:sz w:val="22"/>
          <w:szCs w:val="22"/>
        </w:rPr>
        <w:t>total net present value, return on investment, and project payback. TBL-CBA uses data</w:t>
      </w:r>
      <w:r>
        <w:rPr>
          <w:rFonts w:ascii="Garamond" w:hAnsi="Garamond"/>
          <w:color w:val="222222"/>
          <w:sz w:val="22"/>
          <w:szCs w:val="22"/>
        </w:rPr>
        <w:t xml:space="preserve"> specific to a project’s unique location and characteristics</w:t>
      </w:r>
      <w:r w:rsidRPr="00EE709E">
        <w:rPr>
          <w:rFonts w:ascii="Garamond" w:hAnsi="Garamond"/>
          <w:color w:val="222222"/>
          <w:sz w:val="22"/>
          <w:szCs w:val="22"/>
        </w:rPr>
        <w:t xml:space="preserve"> to give </w:t>
      </w:r>
      <w:r>
        <w:rPr>
          <w:rFonts w:ascii="Garamond" w:hAnsi="Garamond"/>
          <w:color w:val="222222"/>
          <w:sz w:val="22"/>
          <w:szCs w:val="22"/>
        </w:rPr>
        <w:t>stakeholders</w:t>
      </w:r>
      <w:r w:rsidRPr="00EE709E">
        <w:rPr>
          <w:rFonts w:ascii="Garamond" w:hAnsi="Garamond"/>
          <w:color w:val="222222"/>
          <w:sz w:val="22"/>
          <w:szCs w:val="22"/>
        </w:rPr>
        <w:t xml:space="preserve"> and design professionals the capability </w:t>
      </w:r>
      <w:r>
        <w:rPr>
          <w:rFonts w:ascii="Garamond" w:hAnsi="Garamond"/>
          <w:color w:val="222222"/>
          <w:sz w:val="22"/>
          <w:szCs w:val="22"/>
        </w:rPr>
        <w:t xml:space="preserve">to evaluate multiple scenarios throughout the design process. </w:t>
      </w:r>
    </w:p>
    <w:p w14:paraId="6BAAC4FF" w14:textId="2A76377F" w:rsidR="00651D28" w:rsidRPr="00765DB7" w:rsidRDefault="00651D28" w:rsidP="00EA7E1C">
      <w:pPr>
        <w:pStyle w:val="NormalWeb"/>
        <w:shd w:val="clear" w:color="auto" w:fill="FFFFFF"/>
        <w:spacing w:before="120" w:after="120"/>
        <w:rPr>
          <w:rFonts w:ascii="Garamond" w:hAnsi="Garamond"/>
          <w:color w:val="222222"/>
          <w:sz w:val="22"/>
          <w:szCs w:val="22"/>
        </w:rPr>
      </w:pPr>
      <w:r>
        <w:rPr>
          <w:rFonts w:ascii="Garamond" w:hAnsi="Garamond"/>
          <w:color w:val="222222"/>
          <w:sz w:val="22"/>
          <w:szCs w:val="22"/>
        </w:rPr>
        <w:t>Similar to the other methodologies, TBL-CBA provides a financial proxy for social and environmental design impacts. When integrated with the economic evaluation of a scenario, it allows for the evaluation of the total impact of a project across the triple bottom line. Ideally, a project should have a positive Net Present Value</w:t>
      </w:r>
      <w:r w:rsidR="00892AF6">
        <w:rPr>
          <w:rFonts w:ascii="Garamond" w:hAnsi="Garamond"/>
          <w:color w:val="222222"/>
          <w:sz w:val="22"/>
          <w:szCs w:val="22"/>
        </w:rPr>
        <w:t xml:space="preserve"> (NPV)</w:t>
      </w:r>
      <w:r>
        <w:rPr>
          <w:rFonts w:ascii="Garamond" w:hAnsi="Garamond"/>
          <w:color w:val="222222"/>
          <w:sz w:val="22"/>
          <w:szCs w:val="22"/>
        </w:rPr>
        <w:t>. The NPV is the discounted monetary value of the expected net benefits after all costs are accounted. This valuation can be integrated with a simple payback period, ROI, and other financial metrics. Typically, this type of analysis is costly and time consuming due to the level of accounting complexity involved.</w:t>
      </w:r>
    </w:p>
    <w:p w14:paraId="11545D35" w14:textId="1A22D036" w:rsidR="00651D28" w:rsidRDefault="00651D28" w:rsidP="00EA7E1C">
      <w:pPr>
        <w:pStyle w:val="NormalWeb"/>
        <w:shd w:val="clear" w:color="auto" w:fill="FFFFFF"/>
        <w:spacing w:before="120" w:after="120"/>
      </w:pPr>
      <w:r>
        <w:rPr>
          <w:rFonts w:ascii="Garamond" w:hAnsi="Garamond"/>
          <w:color w:val="222222"/>
          <w:sz w:val="22"/>
          <w:szCs w:val="22"/>
        </w:rPr>
        <w:t xml:space="preserve">The Global Reporting Institute, an affiliate of the International Organization for Standardization (ISO), OECD, UN, works with more than 7500 organizations on the TBL-CBA standards. Many large multinational </w:t>
      </w:r>
      <w:r>
        <w:rPr>
          <w:rFonts w:ascii="Garamond" w:hAnsi="Garamond"/>
          <w:color w:val="222222"/>
          <w:sz w:val="22"/>
          <w:szCs w:val="22"/>
        </w:rPr>
        <w:lastRenderedPageBreak/>
        <w:t xml:space="preserve">corporations are also using these tools, although they are often referenced as </w:t>
      </w:r>
      <w:r w:rsidRPr="00765DB7">
        <w:rPr>
          <w:rFonts w:ascii="Garamond" w:hAnsi="Garamond"/>
          <w:color w:val="222222"/>
          <w:sz w:val="22"/>
          <w:szCs w:val="22"/>
        </w:rPr>
        <w:t>“Environmental, Social,</w:t>
      </w:r>
      <w:r>
        <w:rPr>
          <w:rFonts w:ascii="Garamond" w:hAnsi="Garamond"/>
          <w:color w:val="222222"/>
          <w:sz w:val="22"/>
          <w:szCs w:val="22"/>
        </w:rPr>
        <w:t xml:space="preserve"> and Governance”</w:t>
      </w:r>
      <w:r w:rsidR="006952C9">
        <w:rPr>
          <w:rFonts w:ascii="Garamond" w:hAnsi="Garamond"/>
          <w:color w:val="222222"/>
          <w:sz w:val="22"/>
          <w:szCs w:val="22"/>
        </w:rPr>
        <w:t xml:space="preserve"> criteria</w:t>
      </w:r>
      <w:r>
        <w:rPr>
          <w:rFonts w:ascii="Garamond" w:hAnsi="Garamond"/>
          <w:color w:val="222222"/>
          <w:sz w:val="22"/>
          <w:szCs w:val="22"/>
        </w:rPr>
        <w:t xml:space="preserve"> instead</w:t>
      </w:r>
      <w:r w:rsidRPr="00765DB7">
        <w:rPr>
          <w:rFonts w:ascii="Garamond" w:hAnsi="Garamond"/>
          <w:color w:val="222222"/>
          <w:sz w:val="22"/>
          <w:szCs w:val="22"/>
        </w:rPr>
        <w:t>.</w:t>
      </w:r>
      <w:r w:rsidRPr="00546B8E">
        <w:t xml:space="preserve"> </w:t>
      </w:r>
    </w:p>
    <w:p w14:paraId="6C886363" w14:textId="77777777" w:rsidR="00651D28" w:rsidRDefault="00651D28" w:rsidP="00EA7E1C">
      <w:pPr>
        <w:pStyle w:val="NormalWeb"/>
        <w:shd w:val="clear" w:color="auto" w:fill="FFFFFF"/>
        <w:spacing w:before="120" w:after="120"/>
        <w:rPr>
          <w:rFonts w:ascii="Garamond" w:hAnsi="Garamond"/>
          <w:color w:val="222222"/>
          <w:sz w:val="22"/>
          <w:szCs w:val="22"/>
        </w:rPr>
      </w:pPr>
      <w:r>
        <w:rPr>
          <w:rFonts w:ascii="Garamond" w:hAnsi="Garamond"/>
          <w:color w:val="222222"/>
          <w:sz w:val="22"/>
          <w:szCs w:val="22"/>
        </w:rPr>
        <w:t>An interesting development is the use of web-based databases to accelerate and reduce the cost of TBL-CBA analysis. One example is Autocase’s TBL-CBA software which has been integrated into a LCA Pilot Credit for the USGBC’s LEEDv4 certification program. Several entities now require it on design projects, including the State of California, the City of Phoenix, the San Francisco International Airport, and Prologis. In addition, the US Department of Defense has used it for prioritizing design projects at several bases around the world.</w:t>
      </w:r>
    </w:p>
    <w:p w14:paraId="4759C274" w14:textId="77777777" w:rsidR="00651D28" w:rsidRPr="001877A5" w:rsidRDefault="00651D28" w:rsidP="00651D28">
      <w:pPr>
        <w:pStyle w:val="NormalWeb"/>
        <w:shd w:val="clear" w:color="auto" w:fill="FFFFFF"/>
        <w:spacing w:before="0" w:beforeAutospacing="0" w:after="0" w:afterAutospacing="0"/>
        <w:ind w:left="360"/>
        <w:rPr>
          <w:rFonts w:ascii="Garamond" w:hAnsi="Garamond"/>
          <w:b/>
          <w:color w:val="222222"/>
          <w:sz w:val="22"/>
          <w:szCs w:val="22"/>
        </w:rPr>
      </w:pPr>
      <w:r w:rsidRPr="001877A5">
        <w:rPr>
          <w:rFonts w:ascii="Garamond" w:hAnsi="Garamond"/>
          <w:b/>
          <w:color w:val="222222"/>
          <w:sz w:val="22"/>
          <w:szCs w:val="22"/>
        </w:rPr>
        <w:t>References</w:t>
      </w:r>
    </w:p>
    <w:p w14:paraId="5985AEC9" w14:textId="77777777" w:rsidR="00651D28" w:rsidRDefault="00651D28" w:rsidP="00651D28">
      <w:pPr>
        <w:pStyle w:val="NormalWeb"/>
        <w:numPr>
          <w:ilvl w:val="0"/>
          <w:numId w:val="21"/>
        </w:numPr>
        <w:shd w:val="clear" w:color="auto" w:fill="FFFFFF"/>
        <w:spacing w:before="0" w:beforeAutospacing="0" w:after="0" w:afterAutospacing="0"/>
        <w:rPr>
          <w:rFonts w:ascii="Garamond" w:hAnsi="Garamond"/>
          <w:color w:val="222222"/>
          <w:sz w:val="22"/>
          <w:szCs w:val="22"/>
        </w:rPr>
      </w:pPr>
      <w:r>
        <w:rPr>
          <w:rFonts w:ascii="Garamond" w:hAnsi="Garamond"/>
          <w:color w:val="222222"/>
          <w:sz w:val="22"/>
          <w:szCs w:val="22"/>
        </w:rPr>
        <w:t xml:space="preserve">Autocase. (2017). </w:t>
      </w:r>
      <w:r w:rsidRPr="00587F86">
        <w:rPr>
          <w:rFonts w:ascii="Garamond" w:hAnsi="Garamond"/>
          <w:i/>
          <w:color w:val="222222"/>
          <w:sz w:val="22"/>
          <w:szCs w:val="22"/>
        </w:rPr>
        <w:t>What is TBL-CBA</w:t>
      </w:r>
      <w:r w:rsidRPr="00587F86">
        <w:rPr>
          <w:rFonts w:ascii="Garamond" w:hAnsi="Garamond"/>
          <w:color w:val="222222"/>
          <w:sz w:val="22"/>
          <w:szCs w:val="22"/>
        </w:rPr>
        <w:t>?</w:t>
      </w:r>
      <w:r>
        <w:rPr>
          <w:rFonts w:ascii="Garamond" w:hAnsi="Garamond"/>
          <w:color w:val="222222"/>
          <w:sz w:val="22"/>
          <w:szCs w:val="22"/>
        </w:rPr>
        <w:t xml:space="preserve"> Retrieved from: </w:t>
      </w:r>
      <w:r w:rsidRPr="00587F86">
        <w:rPr>
          <w:rFonts w:ascii="Garamond" w:hAnsi="Garamond"/>
          <w:color w:val="222222"/>
          <w:sz w:val="22"/>
          <w:szCs w:val="22"/>
        </w:rPr>
        <w:t xml:space="preserve">https://autocase.com/tbl-cba </w:t>
      </w:r>
      <w:r>
        <w:rPr>
          <w:rFonts w:ascii="Garamond" w:hAnsi="Garamond"/>
          <w:color w:val="222222"/>
          <w:sz w:val="22"/>
          <w:szCs w:val="22"/>
        </w:rPr>
        <w:t xml:space="preserve"> </w:t>
      </w:r>
    </w:p>
    <w:p w14:paraId="788F3C45" w14:textId="77777777" w:rsidR="00651D28" w:rsidRPr="00103242" w:rsidRDefault="00651D28" w:rsidP="00651D28">
      <w:pPr>
        <w:pStyle w:val="NormalWeb"/>
        <w:numPr>
          <w:ilvl w:val="0"/>
          <w:numId w:val="21"/>
        </w:numPr>
        <w:shd w:val="clear" w:color="auto" w:fill="FFFFFF"/>
        <w:spacing w:before="0" w:beforeAutospacing="0" w:after="0" w:afterAutospacing="0"/>
        <w:rPr>
          <w:rFonts w:ascii="Garamond" w:hAnsi="Garamond"/>
          <w:color w:val="222222"/>
          <w:sz w:val="22"/>
          <w:szCs w:val="22"/>
        </w:rPr>
      </w:pPr>
      <w:r>
        <w:rPr>
          <w:rFonts w:ascii="Garamond" w:hAnsi="Garamond"/>
          <w:bCs/>
          <w:color w:val="222222"/>
          <w:sz w:val="22"/>
          <w:szCs w:val="22"/>
        </w:rPr>
        <w:t xml:space="preserve">Social Value UK. (2017). </w:t>
      </w:r>
      <w:r w:rsidRPr="00587F86">
        <w:rPr>
          <w:rFonts w:ascii="Garamond" w:hAnsi="Garamond"/>
          <w:bCs/>
          <w:i/>
          <w:color w:val="222222"/>
          <w:sz w:val="22"/>
          <w:szCs w:val="22"/>
        </w:rPr>
        <w:t>What is social value?</w:t>
      </w:r>
      <w:r>
        <w:rPr>
          <w:rFonts w:ascii="Garamond" w:hAnsi="Garamond"/>
          <w:bCs/>
          <w:color w:val="222222"/>
          <w:sz w:val="22"/>
          <w:szCs w:val="22"/>
        </w:rPr>
        <w:t xml:space="preserve"> Retrieved from: </w:t>
      </w:r>
      <w:r w:rsidRPr="00587F86">
        <w:rPr>
          <w:rFonts w:ascii="Garamond" w:hAnsi="Garamond"/>
          <w:bCs/>
          <w:color w:val="222222"/>
          <w:sz w:val="22"/>
          <w:szCs w:val="22"/>
        </w:rPr>
        <w:t>http://www.socialvalueuk.org/what-is-social-value/</w:t>
      </w:r>
      <w:r>
        <w:rPr>
          <w:rFonts w:ascii="Garamond" w:hAnsi="Garamond"/>
          <w:bCs/>
          <w:color w:val="222222"/>
          <w:sz w:val="22"/>
          <w:szCs w:val="22"/>
        </w:rPr>
        <w:t xml:space="preserve"> </w:t>
      </w:r>
    </w:p>
    <w:p w14:paraId="2A080872" w14:textId="77777777" w:rsidR="00651D28" w:rsidRDefault="00651D28" w:rsidP="00651D28">
      <w:pPr>
        <w:pStyle w:val="NormalWeb"/>
        <w:numPr>
          <w:ilvl w:val="0"/>
          <w:numId w:val="21"/>
        </w:numPr>
        <w:shd w:val="clear" w:color="auto" w:fill="FFFFFF"/>
        <w:spacing w:before="0" w:beforeAutospacing="0" w:after="0" w:afterAutospacing="0"/>
        <w:ind w:left="360" w:firstLine="0"/>
        <w:rPr>
          <w:rFonts w:ascii="Garamond" w:hAnsi="Garamond"/>
          <w:color w:val="222222"/>
          <w:sz w:val="22"/>
          <w:szCs w:val="22"/>
        </w:rPr>
      </w:pPr>
      <w:r>
        <w:rPr>
          <w:rFonts w:ascii="Garamond" w:hAnsi="Garamond"/>
          <w:color w:val="222222"/>
          <w:sz w:val="22"/>
          <w:szCs w:val="22"/>
        </w:rPr>
        <w:t xml:space="preserve">Wikipedia </w:t>
      </w:r>
    </w:p>
    <w:p w14:paraId="1138CE1D" w14:textId="77777777" w:rsidR="00651D28" w:rsidRDefault="00651D28" w:rsidP="00651D28">
      <w:pPr>
        <w:pStyle w:val="NormalWeb"/>
        <w:numPr>
          <w:ilvl w:val="1"/>
          <w:numId w:val="21"/>
        </w:numPr>
        <w:shd w:val="clear" w:color="auto" w:fill="FFFFFF"/>
        <w:spacing w:before="0" w:beforeAutospacing="0" w:after="0" w:afterAutospacing="0"/>
        <w:ind w:left="720" w:firstLine="0"/>
        <w:rPr>
          <w:rFonts w:ascii="Garamond" w:hAnsi="Garamond"/>
          <w:color w:val="222222"/>
          <w:sz w:val="22"/>
          <w:szCs w:val="22"/>
        </w:rPr>
      </w:pPr>
      <w:r>
        <w:rPr>
          <w:rFonts w:ascii="Garamond" w:hAnsi="Garamond"/>
          <w:color w:val="222222"/>
          <w:sz w:val="22"/>
          <w:szCs w:val="22"/>
        </w:rPr>
        <w:t xml:space="preserve">Social ROI - </w:t>
      </w:r>
      <w:hyperlink r:id="rId33" w:history="1">
        <w:r w:rsidRPr="00352E74">
          <w:rPr>
            <w:rStyle w:val="Hyperlink"/>
            <w:rFonts w:ascii="Garamond" w:hAnsi="Garamond"/>
            <w:sz w:val="22"/>
            <w:szCs w:val="22"/>
          </w:rPr>
          <w:t>https://en.wikipedia.org/wiki/Social_return_on_investment</w:t>
        </w:r>
      </w:hyperlink>
    </w:p>
    <w:p w14:paraId="4B47FA10" w14:textId="77777777" w:rsidR="00651D28" w:rsidRDefault="00651D28" w:rsidP="00651D28">
      <w:pPr>
        <w:pStyle w:val="NormalWeb"/>
        <w:numPr>
          <w:ilvl w:val="1"/>
          <w:numId w:val="21"/>
        </w:numPr>
        <w:shd w:val="clear" w:color="auto" w:fill="FFFFFF"/>
        <w:spacing w:before="0" w:beforeAutospacing="0" w:after="0" w:afterAutospacing="0"/>
        <w:ind w:left="720" w:firstLine="0"/>
        <w:rPr>
          <w:rFonts w:ascii="Garamond" w:hAnsi="Garamond"/>
          <w:color w:val="222222"/>
          <w:sz w:val="22"/>
          <w:szCs w:val="22"/>
        </w:rPr>
      </w:pPr>
      <w:r>
        <w:rPr>
          <w:rFonts w:ascii="Garamond" w:hAnsi="Garamond"/>
          <w:color w:val="222222"/>
          <w:sz w:val="22"/>
          <w:szCs w:val="22"/>
        </w:rPr>
        <w:t xml:space="preserve">Sustainable ROI - </w:t>
      </w:r>
      <w:hyperlink r:id="rId34" w:history="1">
        <w:r w:rsidRPr="00352E74">
          <w:rPr>
            <w:rStyle w:val="Hyperlink"/>
            <w:rFonts w:ascii="Garamond" w:hAnsi="Garamond"/>
            <w:sz w:val="22"/>
            <w:szCs w:val="22"/>
          </w:rPr>
          <w:t>https://en.wikipedia.org/wiki/Sustainable_return_on_investment</w:t>
        </w:r>
      </w:hyperlink>
    </w:p>
    <w:p w14:paraId="23511540" w14:textId="77777777" w:rsidR="00651D28" w:rsidRDefault="00651D28" w:rsidP="00651D28">
      <w:pPr>
        <w:pStyle w:val="NormalWeb"/>
        <w:numPr>
          <w:ilvl w:val="1"/>
          <w:numId w:val="21"/>
        </w:numPr>
        <w:shd w:val="clear" w:color="auto" w:fill="FFFFFF"/>
        <w:spacing w:before="0" w:beforeAutospacing="0" w:after="0" w:afterAutospacing="0"/>
        <w:ind w:left="720" w:firstLine="0"/>
        <w:rPr>
          <w:rFonts w:ascii="Garamond" w:hAnsi="Garamond"/>
          <w:color w:val="222222"/>
          <w:sz w:val="22"/>
          <w:szCs w:val="22"/>
        </w:rPr>
      </w:pPr>
      <w:r>
        <w:rPr>
          <w:rFonts w:ascii="Garamond" w:hAnsi="Garamond"/>
          <w:color w:val="222222"/>
          <w:sz w:val="22"/>
          <w:szCs w:val="22"/>
        </w:rPr>
        <w:t xml:space="preserve">TBL-CBA - </w:t>
      </w:r>
      <w:r w:rsidRPr="008446B3">
        <w:rPr>
          <w:rFonts w:ascii="Garamond" w:hAnsi="Garamond"/>
          <w:color w:val="222222"/>
          <w:sz w:val="22"/>
          <w:szCs w:val="22"/>
        </w:rPr>
        <w:t>https://en.wikipedia.org/wiki/Triple_Bottom_Line_Cost_Benefit_Analysis</w:t>
      </w:r>
    </w:p>
    <w:p w14:paraId="33FE239B" w14:textId="701A83C7" w:rsidR="00651D28" w:rsidRPr="00EA7E1C" w:rsidRDefault="00651D28" w:rsidP="00EA7E1C">
      <w:pPr>
        <w:pStyle w:val="NormalWeb"/>
        <w:numPr>
          <w:ilvl w:val="0"/>
          <w:numId w:val="21"/>
        </w:numPr>
        <w:shd w:val="clear" w:color="auto" w:fill="FFFFFF"/>
        <w:spacing w:before="0" w:beforeAutospacing="0" w:after="0" w:afterAutospacing="0"/>
        <w:rPr>
          <w:rFonts w:ascii="Garamond" w:hAnsi="Garamond"/>
          <w:color w:val="222222"/>
          <w:sz w:val="22"/>
          <w:szCs w:val="22"/>
        </w:rPr>
      </w:pPr>
      <w:r>
        <w:rPr>
          <w:rFonts w:ascii="Garamond" w:hAnsi="Garamond"/>
          <w:color w:val="222222"/>
          <w:sz w:val="22"/>
          <w:szCs w:val="22"/>
        </w:rPr>
        <w:t xml:space="preserve">Williams, J. (2011). </w:t>
      </w:r>
      <w:r w:rsidRPr="00587F86">
        <w:rPr>
          <w:rFonts w:ascii="Garamond" w:hAnsi="Garamond"/>
          <w:color w:val="222222"/>
          <w:sz w:val="22"/>
          <w:szCs w:val="22"/>
        </w:rPr>
        <w:t>HDR &amp; SROI How to Measure “Green”.</w:t>
      </w:r>
      <w:r>
        <w:rPr>
          <w:rFonts w:ascii="Garamond" w:hAnsi="Garamond"/>
          <w:color w:val="222222"/>
          <w:sz w:val="22"/>
          <w:szCs w:val="22"/>
        </w:rPr>
        <w:t xml:space="preserve"> </w:t>
      </w:r>
      <w:r w:rsidRPr="00587F86">
        <w:rPr>
          <w:rFonts w:ascii="Garamond" w:hAnsi="Garamond"/>
          <w:i/>
          <w:color w:val="222222"/>
          <w:sz w:val="22"/>
          <w:szCs w:val="22"/>
        </w:rPr>
        <w:t>Live Better Magazine.</w:t>
      </w:r>
      <w:r>
        <w:rPr>
          <w:rFonts w:ascii="Garamond" w:hAnsi="Garamond"/>
          <w:color w:val="222222"/>
          <w:sz w:val="22"/>
          <w:szCs w:val="22"/>
        </w:rPr>
        <w:t xml:space="preserve"> Retrieved from: </w:t>
      </w:r>
      <w:r w:rsidRPr="00587F86">
        <w:rPr>
          <w:rFonts w:ascii="Garamond" w:hAnsi="Garamond"/>
          <w:color w:val="222222"/>
          <w:sz w:val="22"/>
          <w:szCs w:val="22"/>
        </w:rPr>
        <w:t>http://livebettermagazine.com/article/hdr-sroi-how-to-measure-green/</w:t>
      </w:r>
    </w:p>
    <w:p w14:paraId="1FD66BA3" w14:textId="77777777" w:rsidR="000329A9" w:rsidRDefault="000329A9">
      <w:pPr>
        <w:rPr>
          <w:rFonts w:ascii="Garamond" w:hAnsi="Garamond"/>
          <w:b/>
          <w:color w:val="000000" w:themeColor="text1"/>
        </w:rPr>
      </w:pPr>
    </w:p>
    <w:p w14:paraId="5997D8A3" w14:textId="77777777" w:rsidR="009702C9" w:rsidRDefault="009702C9" w:rsidP="00AE73CB">
      <w:pPr>
        <w:rPr>
          <w:rFonts w:ascii="Garamond" w:hAnsi="Garamond"/>
          <w:color w:val="000000" w:themeColor="text1"/>
        </w:rPr>
      </w:pPr>
    </w:p>
    <w:p w14:paraId="449A5540" w14:textId="77777777" w:rsidR="00A35A65" w:rsidRDefault="00A35A65" w:rsidP="00AE73CB">
      <w:pPr>
        <w:rPr>
          <w:rFonts w:ascii="Garamond" w:hAnsi="Garamond"/>
          <w:color w:val="000000" w:themeColor="text1"/>
        </w:rPr>
      </w:pPr>
    </w:p>
    <w:p w14:paraId="1C0F557B" w14:textId="1C613E18" w:rsidR="00AE73CB" w:rsidRPr="009702C9" w:rsidRDefault="00AE73CB" w:rsidP="00A03DB7">
      <w:pPr>
        <w:pStyle w:val="Heading2"/>
      </w:pPr>
      <w:r w:rsidRPr="005C2C7A">
        <w:t>Appendix E: Additional Health and Wellness Resources</w:t>
      </w:r>
    </w:p>
    <w:p w14:paraId="6F75FA46" w14:textId="134F0184" w:rsidR="00360421" w:rsidRDefault="00360421">
      <w:pPr>
        <w:rPr>
          <w:rFonts w:ascii="Garamond" w:hAnsi="Garamond"/>
          <w:color w:val="000000" w:themeColor="text1"/>
        </w:rPr>
      </w:pPr>
    </w:p>
    <w:p w14:paraId="4DEBEFB3" w14:textId="77777777" w:rsidR="00734315" w:rsidRPr="00EA7E98" w:rsidRDefault="00734315" w:rsidP="00A03DB7">
      <w:pPr>
        <w:pStyle w:val="Heading3"/>
      </w:pPr>
      <w:r w:rsidRPr="00EA7E98">
        <w:t>General Health &amp; Wellness</w:t>
      </w:r>
    </w:p>
    <w:p w14:paraId="3B2927F6" w14:textId="77777777" w:rsidR="00A74B4D" w:rsidRDefault="00A74B4D" w:rsidP="00734315">
      <w:pPr>
        <w:pStyle w:val="NoSpacing"/>
        <w:tabs>
          <w:tab w:val="left" w:pos="720"/>
        </w:tabs>
        <w:ind w:left="720" w:hanging="720"/>
        <w:rPr>
          <w:rFonts w:ascii="Garamond" w:hAnsi="Garamond"/>
        </w:rPr>
      </w:pPr>
    </w:p>
    <w:p w14:paraId="2B77D9E3" w14:textId="1FC8871B" w:rsidR="008B1701" w:rsidRDefault="008B1701" w:rsidP="008B1701">
      <w:pPr>
        <w:pStyle w:val="NoSpacing"/>
        <w:tabs>
          <w:tab w:val="left" w:pos="720"/>
        </w:tabs>
        <w:ind w:left="720" w:hanging="720"/>
        <w:rPr>
          <w:rFonts w:ascii="Garamond" w:hAnsi="Garamond"/>
        </w:rPr>
      </w:pPr>
      <w:r w:rsidRPr="008B1701">
        <w:rPr>
          <w:rFonts w:ascii="Garamond" w:hAnsi="Garamond"/>
        </w:rPr>
        <w:t>D</w:t>
      </w:r>
      <w:r>
        <w:rPr>
          <w:rFonts w:ascii="Garamond" w:hAnsi="Garamond"/>
        </w:rPr>
        <w:t xml:space="preserve">odge Data &amp; Analytics. (2016). </w:t>
      </w:r>
      <w:r w:rsidRPr="00EA7E1C">
        <w:rPr>
          <w:rFonts w:ascii="Garamond" w:hAnsi="Garamond"/>
          <w:i/>
        </w:rPr>
        <w:t>The Drive Towards Healthier Buildings 2016</w:t>
      </w:r>
      <w:r>
        <w:rPr>
          <w:rFonts w:ascii="Garamond" w:hAnsi="Garamond"/>
        </w:rPr>
        <w:t xml:space="preserve">. Retrieved from: </w:t>
      </w:r>
      <w:hyperlink r:id="rId35" w:history="1">
        <w:r w:rsidRPr="00622ED7">
          <w:rPr>
            <w:rStyle w:val="Hyperlink"/>
            <w:rFonts w:ascii="Garamond" w:hAnsi="Garamond"/>
          </w:rPr>
          <w:t>https://www.construction.com/toolkit/reports/drive-toward-healthier-buildings</w:t>
        </w:r>
      </w:hyperlink>
      <w:r>
        <w:rPr>
          <w:rFonts w:ascii="Garamond" w:hAnsi="Garamond"/>
        </w:rPr>
        <w:t xml:space="preserve"> (Report based on industry surveys of</w:t>
      </w:r>
      <w:r w:rsidRPr="008B1701">
        <w:rPr>
          <w:rFonts w:ascii="Garamond" w:hAnsi="Garamond"/>
        </w:rPr>
        <w:t xml:space="preserve"> U.S. building owners, developers and managers </w:t>
      </w:r>
      <w:r>
        <w:rPr>
          <w:rFonts w:ascii="Garamond" w:hAnsi="Garamond"/>
        </w:rPr>
        <w:t>on their view of</w:t>
      </w:r>
      <w:r w:rsidRPr="008B1701">
        <w:rPr>
          <w:rFonts w:ascii="Garamond" w:hAnsi="Garamond"/>
        </w:rPr>
        <w:t xml:space="preserve"> the impact</w:t>
      </w:r>
      <w:r>
        <w:rPr>
          <w:rFonts w:ascii="Garamond" w:hAnsi="Garamond"/>
        </w:rPr>
        <w:t>s</w:t>
      </w:r>
      <w:r w:rsidRPr="008B1701">
        <w:rPr>
          <w:rFonts w:ascii="Garamond" w:hAnsi="Garamond"/>
        </w:rPr>
        <w:t xml:space="preserve"> o</w:t>
      </w:r>
      <w:r>
        <w:rPr>
          <w:rFonts w:ascii="Garamond" w:hAnsi="Garamond"/>
        </w:rPr>
        <w:t>f buildings on health and well-</w:t>
      </w:r>
      <w:r w:rsidRPr="008B1701">
        <w:rPr>
          <w:rFonts w:ascii="Garamond" w:hAnsi="Garamond"/>
        </w:rPr>
        <w:t>being</w:t>
      </w:r>
      <w:r>
        <w:rPr>
          <w:rFonts w:ascii="Garamond" w:hAnsi="Garamond"/>
        </w:rPr>
        <w:t>.)</w:t>
      </w:r>
    </w:p>
    <w:p w14:paraId="33E67734" w14:textId="77777777" w:rsidR="008B1701" w:rsidRPr="00A74B4D" w:rsidRDefault="008B1701" w:rsidP="00734315">
      <w:pPr>
        <w:pStyle w:val="NoSpacing"/>
        <w:tabs>
          <w:tab w:val="left" w:pos="720"/>
        </w:tabs>
        <w:ind w:left="720" w:hanging="720"/>
        <w:rPr>
          <w:rFonts w:ascii="Garamond" w:hAnsi="Garamond"/>
        </w:rPr>
      </w:pPr>
    </w:p>
    <w:p w14:paraId="0C3B6907" w14:textId="77777777" w:rsidR="00734315" w:rsidRDefault="00734315" w:rsidP="00734315">
      <w:pPr>
        <w:pStyle w:val="NoSpacing"/>
        <w:tabs>
          <w:tab w:val="left" w:pos="720"/>
        </w:tabs>
        <w:ind w:left="720" w:hanging="720"/>
        <w:rPr>
          <w:rFonts w:ascii="Garamond" w:hAnsi="Garamond"/>
        </w:rPr>
      </w:pPr>
      <w:r>
        <w:rPr>
          <w:rFonts w:ascii="Garamond" w:hAnsi="Garamond"/>
        </w:rPr>
        <w:t xml:space="preserve">Herz, J. (2006). </w:t>
      </w:r>
      <w:r w:rsidRPr="002C09DD">
        <w:rPr>
          <w:rFonts w:ascii="Garamond" w:hAnsi="Garamond"/>
          <w:i/>
        </w:rPr>
        <w:t>Green Buildings: What’s Missing Making It Green and Fair</w:t>
      </w:r>
      <w:r>
        <w:rPr>
          <w:rFonts w:ascii="Garamond" w:hAnsi="Garamond"/>
        </w:rPr>
        <w:t>. P</w:t>
      </w:r>
      <w:r w:rsidRPr="000A14B1">
        <w:rPr>
          <w:rFonts w:ascii="Garamond" w:hAnsi="Garamond"/>
        </w:rPr>
        <w:t>resented at Rethinking Sust</w:t>
      </w:r>
      <w:r>
        <w:rPr>
          <w:rFonts w:ascii="Garamond" w:hAnsi="Garamond"/>
        </w:rPr>
        <w:t>ainable Construction 2006</w:t>
      </w:r>
      <w:r w:rsidRPr="000A14B1">
        <w:rPr>
          <w:rFonts w:ascii="Garamond" w:hAnsi="Garamond"/>
        </w:rPr>
        <w:t>, Sarasota,</w:t>
      </w:r>
      <w:r>
        <w:rPr>
          <w:rFonts w:ascii="Garamond" w:hAnsi="Garamond"/>
        </w:rPr>
        <w:t xml:space="preserve"> FL,</w:t>
      </w:r>
      <w:r w:rsidRPr="000A14B1">
        <w:rPr>
          <w:rFonts w:ascii="Garamond" w:hAnsi="Garamond"/>
        </w:rPr>
        <w:t xml:space="preserve"> 19-22 September 2006</w:t>
      </w:r>
      <w:r>
        <w:rPr>
          <w:rFonts w:ascii="Garamond" w:hAnsi="Garamond"/>
        </w:rPr>
        <w:t xml:space="preserve">. Retrieved from </w:t>
      </w:r>
      <w:hyperlink r:id="rId36" w:history="1">
        <w:r w:rsidRPr="006B5CB9">
          <w:rPr>
            <w:rStyle w:val="Hyperlink"/>
            <w:rFonts w:ascii="Garamond" w:hAnsi="Garamond"/>
          </w:rPr>
          <w:t>https://www.cce.ufl.edu/rethinking-sustainable-construction-2006/</w:t>
        </w:r>
      </w:hyperlink>
      <w:r>
        <w:rPr>
          <w:rFonts w:ascii="Garamond" w:hAnsi="Garamond"/>
        </w:rPr>
        <w:t>. (</w:t>
      </w:r>
      <w:r w:rsidRPr="000A14B1">
        <w:rPr>
          <w:rFonts w:ascii="Garamond" w:hAnsi="Garamond"/>
        </w:rPr>
        <w:t>This paper discusses what is missing in today’s common application of sustainable development principles – equity; and argues that unless this issue is properly addressed, sustainable development cannot be achieved.</w:t>
      </w:r>
      <w:r>
        <w:rPr>
          <w:rFonts w:ascii="Garamond" w:hAnsi="Garamond"/>
        </w:rPr>
        <w:t>)</w:t>
      </w:r>
    </w:p>
    <w:p w14:paraId="5E38F667" w14:textId="77777777" w:rsidR="00734315" w:rsidRDefault="00734315" w:rsidP="00734315">
      <w:pPr>
        <w:pStyle w:val="NoSpacing"/>
        <w:tabs>
          <w:tab w:val="left" w:pos="720"/>
        </w:tabs>
        <w:ind w:left="720" w:hanging="720"/>
        <w:rPr>
          <w:rFonts w:ascii="Garamond" w:hAnsi="Garamond"/>
        </w:rPr>
      </w:pPr>
    </w:p>
    <w:p w14:paraId="4A51A47C" w14:textId="77777777" w:rsidR="00734315" w:rsidRDefault="00734315" w:rsidP="00734315">
      <w:pPr>
        <w:pStyle w:val="NoSpacing"/>
        <w:tabs>
          <w:tab w:val="left" w:pos="720"/>
        </w:tabs>
        <w:ind w:left="720" w:hanging="720"/>
        <w:rPr>
          <w:rFonts w:ascii="Garamond" w:hAnsi="Garamond"/>
        </w:rPr>
      </w:pPr>
      <w:r w:rsidRPr="00EA7E98">
        <w:rPr>
          <w:rFonts w:ascii="Garamond" w:hAnsi="Garamond"/>
        </w:rPr>
        <w:t xml:space="preserve">Loftness, V., et al. (2007). Elements That Contribute to Healthy Building Design. </w:t>
      </w:r>
      <w:r w:rsidRPr="00EA7E98">
        <w:rPr>
          <w:rFonts w:ascii="Garamond" w:hAnsi="Garamond"/>
          <w:i/>
        </w:rPr>
        <w:t>Environmental Health Perspectives</w:t>
      </w:r>
      <w:r w:rsidRPr="00EA7E98">
        <w:rPr>
          <w:rFonts w:ascii="Garamond" w:hAnsi="Garamond"/>
        </w:rPr>
        <w:t xml:space="preserve">, 115(6), 965. DOI: </w:t>
      </w:r>
      <w:hyperlink r:id="rId37" w:history="1">
        <w:r w:rsidRPr="00EA7E98">
          <w:rPr>
            <w:rStyle w:val="Hyperlink"/>
            <w:rFonts w:ascii="Garamond" w:hAnsi="Garamond"/>
          </w:rPr>
          <w:t>https://dx.doi.org/10.1289%2Fehp.8988</w:t>
        </w:r>
      </w:hyperlink>
      <w:r w:rsidRPr="00EA7E98">
        <w:rPr>
          <w:rFonts w:ascii="Garamond" w:hAnsi="Garamond"/>
        </w:rPr>
        <w:t>. (Three viewpoints of designing a healthy building are presented: the importance of sustainable development, the role of occupants for ensuring indoor air quality, and ongoing developments related to indoor finishes with low chemical emissions and good fungal resistance.)</w:t>
      </w:r>
    </w:p>
    <w:p w14:paraId="6AF3CE2E" w14:textId="77777777" w:rsidR="008B1701" w:rsidRDefault="008B1701" w:rsidP="00734315">
      <w:pPr>
        <w:pStyle w:val="NoSpacing"/>
        <w:tabs>
          <w:tab w:val="left" w:pos="720"/>
        </w:tabs>
        <w:ind w:left="720" w:hanging="720"/>
        <w:rPr>
          <w:rFonts w:ascii="Garamond" w:hAnsi="Garamond"/>
        </w:rPr>
      </w:pPr>
    </w:p>
    <w:p w14:paraId="26399D78" w14:textId="064113D6" w:rsidR="008B1701" w:rsidRPr="008B1701" w:rsidRDefault="008B1701" w:rsidP="008B1701">
      <w:pPr>
        <w:pStyle w:val="NoSpacing"/>
        <w:tabs>
          <w:tab w:val="left" w:pos="720"/>
        </w:tabs>
        <w:ind w:left="720" w:hanging="720"/>
        <w:rPr>
          <w:rFonts w:ascii="Garamond" w:hAnsi="Garamond"/>
        </w:rPr>
      </w:pPr>
      <w:r>
        <w:rPr>
          <w:rFonts w:ascii="Garamond" w:hAnsi="Garamond"/>
        </w:rPr>
        <w:t xml:space="preserve">Melton, P. (2017). </w:t>
      </w:r>
      <w:r w:rsidRPr="008B1701">
        <w:rPr>
          <w:rFonts w:ascii="Garamond" w:hAnsi="Garamond"/>
        </w:rPr>
        <w:t>Programming Buildings for Health</w:t>
      </w:r>
      <w:r>
        <w:rPr>
          <w:rFonts w:ascii="Garamond" w:hAnsi="Garamond"/>
        </w:rPr>
        <w:t xml:space="preserve">: </w:t>
      </w:r>
      <w:r w:rsidRPr="008B1701">
        <w:rPr>
          <w:rFonts w:ascii="Garamond" w:hAnsi="Garamond"/>
        </w:rPr>
        <w:t>WELL, Fitwel, and Beyond</w:t>
      </w:r>
      <w:r>
        <w:rPr>
          <w:rFonts w:ascii="Garamond" w:hAnsi="Garamond"/>
        </w:rPr>
        <w:t xml:space="preserve">. </w:t>
      </w:r>
      <w:r>
        <w:rPr>
          <w:rFonts w:ascii="Garamond" w:hAnsi="Garamond"/>
          <w:i/>
        </w:rPr>
        <w:t>The Building Green Report.</w:t>
      </w:r>
      <w:r>
        <w:rPr>
          <w:rFonts w:ascii="Garamond" w:hAnsi="Garamond"/>
        </w:rPr>
        <w:t xml:space="preserve"> </w:t>
      </w:r>
      <w:r w:rsidRPr="008B1701">
        <w:rPr>
          <w:rFonts w:ascii="Garamond" w:hAnsi="Garamond"/>
        </w:rPr>
        <w:t>Volume 26, Number 3 · March 2017</w:t>
      </w:r>
      <w:r>
        <w:rPr>
          <w:rFonts w:ascii="Garamond" w:hAnsi="Garamond"/>
        </w:rPr>
        <w:t xml:space="preserve">.  Retrieved from: </w:t>
      </w:r>
      <w:hyperlink r:id="rId38" w:history="1">
        <w:r w:rsidR="007D2A99" w:rsidRPr="00622ED7">
          <w:rPr>
            <w:rStyle w:val="Hyperlink"/>
            <w:rFonts w:ascii="Garamond" w:hAnsi="Garamond"/>
          </w:rPr>
          <w:t>https://buildinggreen.com/downloads</w:t>
        </w:r>
      </w:hyperlink>
      <w:r w:rsidR="007D2A99">
        <w:rPr>
          <w:rFonts w:ascii="Garamond" w:hAnsi="Garamond"/>
        </w:rPr>
        <w:t xml:space="preserve"> (A review and comparison of the WELL and Fitwel programs.)</w:t>
      </w:r>
    </w:p>
    <w:p w14:paraId="3920056F" w14:textId="77777777" w:rsidR="00734315" w:rsidRPr="00EA7E98" w:rsidRDefault="00734315" w:rsidP="00734315">
      <w:pPr>
        <w:pStyle w:val="NoSpacing"/>
        <w:tabs>
          <w:tab w:val="left" w:pos="720"/>
        </w:tabs>
        <w:ind w:left="720" w:hanging="720"/>
        <w:rPr>
          <w:rFonts w:ascii="Garamond" w:hAnsi="Garamond"/>
        </w:rPr>
      </w:pPr>
    </w:p>
    <w:p w14:paraId="1C7D4BBE" w14:textId="77777777" w:rsidR="00734315" w:rsidRDefault="00734315" w:rsidP="00734315">
      <w:pPr>
        <w:pStyle w:val="NoSpacing"/>
        <w:tabs>
          <w:tab w:val="left" w:pos="720"/>
        </w:tabs>
        <w:ind w:left="720" w:hanging="720"/>
        <w:rPr>
          <w:rFonts w:ascii="Garamond" w:hAnsi="Garamond"/>
        </w:rPr>
      </w:pPr>
      <w:r>
        <w:rPr>
          <w:rFonts w:ascii="Garamond" w:hAnsi="Garamond"/>
        </w:rPr>
        <w:t xml:space="preserve">National Institutes of Health. (2016). </w:t>
      </w:r>
      <w:r w:rsidRPr="0054069E">
        <w:rPr>
          <w:rFonts w:ascii="Garamond" w:hAnsi="Garamond"/>
          <w:i/>
        </w:rPr>
        <w:t>Health in Buildings Roundtable (HiBR)</w:t>
      </w:r>
      <w:r>
        <w:rPr>
          <w:rFonts w:ascii="Garamond" w:hAnsi="Garamond"/>
        </w:rPr>
        <w:t xml:space="preserve">. Retrieved from </w:t>
      </w:r>
      <w:hyperlink r:id="rId39" w:history="1">
        <w:r w:rsidRPr="00DB3E95">
          <w:rPr>
            <w:rStyle w:val="Hyperlink"/>
            <w:rFonts w:ascii="Garamond" w:hAnsi="Garamond"/>
          </w:rPr>
          <w:t>https://nems.nih.gov/teams/Pages/2016%20Webpage%20Content%20Archives/Health-in-</w:t>
        </w:r>
        <w:r w:rsidRPr="00DB3E95">
          <w:rPr>
            <w:rStyle w:val="Hyperlink"/>
            <w:rFonts w:ascii="Garamond" w:hAnsi="Garamond"/>
          </w:rPr>
          <w:lastRenderedPageBreak/>
          <w:t>Buildings-Roundtable.aspx</w:t>
        </w:r>
      </w:hyperlink>
      <w:r>
        <w:rPr>
          <w:rFonts w:ascii="Garamond" w:hAnsi="Garamond"/>
        </w:rPr>
        <w:t>. (HiBR provides a list of additional resources and references regarding health and building impacts.)</w:t>
      </w:r>
    </w:p>
    <w:p w14:paraId="0DCF7864" w14:textId="77777777" w:rsidR="00734315" w:rsidRPr="002C09DD" w:rsidRDefault="00734315" w:rsidP="00734315">
      <w:pPr>
        <w:pStyle w:val="NoSpacing"/>
        <w:tabs>
          <w:tab w:val="left" w:pos="720"/>
        </w:tabs>
        <w:ind w:left="720" w:hanging="720"/>
        <w:rPr>
          <w:rFonts w:ascii="Garamond" w:hAnsi="Garamond"/>
        </w:rPr>
      </w:pPr>
    </w:p>
    <w:p w14:paraId="6B4A48ED" w14:textId="77777777" w:rsidR="00734315" w:rsidRDefault="00734315" w:rsidP="00734315">
      <w:pPr>
        <w:pStyle w:val="NoSpacing"/>
        <w:tabs>
          <w:tab w:val="left" w:pos="720"/>
        </w:tabs>
        <w:ind w:left="720" w:hanging="720"/>
        <w:rPr>
          <w:rFonts w:ascii="Garamond" w:hAnsi="Garamond"/>
        </w:rPr>
      </w:pPr>
      <w:r>
        <w:rPr>
          <w:rFonts w:ascii="Garamond" w:hAnsi="Garamond"/>
        </w:rPr>
        <w:t xml:space="preserve">National Prevention Council. (2011). </w:t>
      </w:r>
      <w:r w:rsidRPr="000A79DB">
        <w:rPr>
          <w:rFonts w:ascii="Garamond" w:hAnsi="Garamond"/>
        </w:rPr>
        <w:t>Healthy and Safe Community Environments</w:t>
      </w:r>
      <w:r>
        <w:rPr>
          <w:rFonts w:ascii="Garamond" w:hAnsi="Garamond"/>
        </w:rPr>
        <w:t xml:space="preserve">. In </w:t>
      </w:r>
      <w:r w:rsidRPr="000A79DB">
        <w:rPr>
          <w:rFonts w:ascii="Garamond" w:hAnsi="Garamond"/>
          <w:i/>
        </w:rPr>
        <w:t>National Prevention Strategy</w:t>
      </w:r>
      <w:r>
        <w:rPr>
          <w:rFonts w:ascii="Garamond" w:hAnsi="Garamond"/>
          <w:i/>
        </w:rPr>
        <w:t xml:space="preserve"> (pp. 14-17).</w:t>
      </w:r>
      <w:r w:rsidRPr="008438AC">
        <w:rPr>
          <w:rFonts w:ascii="Garamond" w:hAnsi="Garamond"/>
        </w:rPr>
        <w:t xml:space="preserve"> Washington, D</w:t>
      </w:r>
      <w:r>
        <w:rPr>
          <w:rFonts w:ascii="Garamond" w:hAnsi="Garamond"/>
        </w:rPr>
        <w:t>.</w:t>
      </w:r>
      <w:r w:rsidRPr="008438AC">
        <w:rPr>
          <w:rFonts w:ascii="Garamond" w:hAnsi="Garamond"/>
        </w:rPr>
        <w:t>C</w:t>
      </w:r>
      <w:r>
        <w:rPr>
          <w:rFonts w:ascii="Garamond" w:hAnsi="Garamond"/>
        </w:rPr>
        <w:t xml:space="preserve">.: </w:t>
      </w:r>
      <w:r w:rsidRPr="008438AC">
        <w:rPr>
          <w:rFonts w:ascii="Garamond" w:hAnsi="Garamond"/>
        </w:rPr>
        <w:t>U.S. Department of Health and Human Services, Office of the Surgeon General</w:t>
      </w:r>
      <w:r>
        <w:rPr>
          <w:rFonts w:ascii="Garamond" w:hAnsi="Garamond"/>
        </w:rPr>
        <w:t>. (The Surgeon General provides recommendations to achieve healthy and safe community environments for different stakeholders.)</w:t>
      </w:r>
    </w:p>
    <w:p w14:paraId="1BDC9992" w14:textId="77777777" w:rsidR="00734315" w:rsidRDefault="00734315" w:rsidP="00734315">
      <w:pPr>
        <w:rPr>
          <w:rFonts w:ascii="Garamond" w:hAnsi="Garamond"/>
        </w:rPr>
      </w:pPr>
    </w:p>
    <w:p w14:paraId="78FC380C" w14:textId="77777777" w:rsidR="00734315" w:rsidRPr="00F97E10" w:rsidRDefault="00734315" w:rsidP="00734315">
      <w:pPr>
        <w:autoSpaceDE w:val="0"/>
        <w:autoSpaceDN w:val="0"/>
        <w:adjustRightInd w:val="0"/>
        <w:ind w:left="720" w:hanging="720"/>
        <w:rPr>
          <w:rFonts w:ascii="Garamond" w:hAnsi="Garamond" w:cs="DIN-Light"/>
        </w:rPr>
      </w:pPr>
      <w:r w:rsidRPr="00F97E10">
        <w:rPr>
          <w:rFonts w:ascii="Garamond" w:hAnsi="Garamond" w:cs="DIN-Light"/>
        </w:rPr>
        <w:t xml:space="preserve">Urban Land Institute. (2013) </w:t>
      </w:r>
      <w:r w:rsidRPr="00F97E10">
        <w:rPr>
          <w:rFonts w:ascii="Garamond" w:hAnsi="Garamond" w:cs="DIN-LightItalic"/>
          <w:i/>
          <w:iCs/>
        </w:rPr>
        <w:t>Intersections: Health and the Built Environment</w:t>
      </w:r>
      <w:r w:rsidRPr="00F97E10">
        <w:rPr>
          <w:rFonts w:ascii="Garamond" w:hAnsi="Garamond" w:cs="DIN-Light"/>
        </w:rPr>
        <w:t xml:space="preserve">. Washington, D.C.: Urban Land Institute. Retrieved from </w:t>
      </w:r>
      <w:hyperlink r:id="rId40" w:history="1">
        <w:r w:rsidRPr="00F97E10">
          <w:rPr>
            <w:rStyle w:val="Hyperlink"/>
            <w:rFonts w:ascii="Garamond" w:hAnsi="Garamond" w:cs="DIN-Light"/>
          </w:rPr>
          <w:t>https://uli.org/wp-content/uploads/ULI-Documents/Intersections-Health-and-the-Built-Environment.pdf</w:t>
        </w:r>
      </w:hyperlink>
      <w:r w:rsidRPr="00F97E10">
        <w:rPr>
          <w:rFonts w:ascii="Garamond" w:hAnsi="Garamond" w:cs="DIN-Light"/>
        </w:rPr>
        <w:t>. (This report explores the relationship between how healthy we are and the way our buildings and communities function.)</w:t>
      </w:r>
    </w:p>
    <w:p w14:paraId="7EFF2588" w14:textId="77777777" w:rsidR="00734315" w:rsidRDefault="00734315" w:rsidP="00734315">
      <w:pPr>
        <w:pStyle w:val="NoSpacing"/>
        <w:tabs>
          <w:tab w:val="left" w:pos="720"/>
        </w:tabs>
        <w:rPr>
          <w:rFonts w:ascii="Garamond" w:hAnsi="Garamond"/>
        </w:rPr>
      </w:pPr>
    </w:p>
    <w:p w14:paraId="1B29F298" w14:textId="77777777" w:rsidR="00734315" w:rsidRPr="00A03DB7" w:rsidRDefault="00734315" w:rsidP="00A03DB7">
      <w:pPr>
        <w:pStyle w:val="Heading3"/>
      </w:pPr>
      <w:r w:rsidRPr="00F5614A">
        <w:t>Business Case</w:t>
      </w:r>
      <w:r>
        <w:t xml:space="preserve"> &amp; Metrics</w:t>
      </w:r>
    </w:p>
    <w:p w14:paraId="334C64EC" w14:textId="77777777" w:rsidR="00734315" w:rsidRDefault="00734315" w:rsidP="00734315">
      <w:pPr>
        <w:pStyle w:val="NoSpacing"/>
        <w:tabs>
          <w:tab w:val="left" w:pos="720"/>
        </w:tabs>
        <w:ind w:left="720" w:hanging="720"/>
        <w:rPr>
          <w:rFonts w:ascii="Garamond" w:hAnsi="Garamond"/>
        </w:rPr>
      </w:pPr>
    </w:p>
    <w:p w14:paraId="14C871F3" w14:textId="77777777" w:rsidR="00734315" w:rsidRDefault="00734315" w:rsidP="00734315">
      <w:pPr>
        <w:pStyle w:val="NoSpacing"/>
        <w:tabs>
          <w:tab w:val="left" w:pos="720"/>
        </w:tabs>
        <w:ind w:left="720" w:hanging="720"/>
        <w:rPr>
          <w:rFonts w:ascii="Garamond" w:hAnsi="Garamond"/>
        </w:rPr>
      </w:pPr>
      <w:r w:rsidRPr="00C739AA">
        <w:rPr>
          <w:rFonts w:ascii="Garamond" w:hAnsi="Garamond"/>
        </w:rPr>
        <w:t xml:space="preserve">Ambrose, B., et al. (2016). Building the Business Case: Health, Wellbeing and Productivity in Green Offices. </w:t>
      </w:r>
      <w:r w:rsidRPr="00C739AA">
        <w:rPr>
          <w:rFonts w:ascii="Garamond" w:hAnsi="Garamond"/>
          <w:i/>
        </w:rPr>
        <w:t xml:space="preserve">World Green Building Council, </w:t>
      </w:r>
      <w:r w:rsidRPr="00C739AA">
        <w:rPr>
          <w:rFonts w:ascii="Garamond" w:hAnsi="Garamond"/>
        </w:rPr>
        <w:t xml:space="preserve">1-50. Retrieved from </w:t>
      </w:r>
      <w:hyperlink r:id="rId41" w:history="1">
        <w:r w:rsidRPr="00C739AA">
          <w:rPr>
            <w:rStyle w:val="Hyperlink"/>
            <w:rFonts w:ascii="Garamond" w:hAnsi="Garamond"/>
          </w:rPr>
          <w:t>http://www.worldgbc.org/sites/default/files/WGBC_BtBC_Dec2016_Digital_Low-MAY24_0.pdf</w:t>
        </w:r>
      </w:hyperlink>
      <w:r w:rsidRPr="00C739AA">
        <w:rPr>
          <w:rFonts w:ascii="Garamond" w:hAnsi="Garamond"/>
        </w:rPr>
        <w:t>. (This World Green Building Council report provides worldwide best practice examples of healthy, green offices, showing decreased absenteeism and better health for employees.)</w:t>
      </w:r>
    </w:p>
    <w:p w14:paraId="68C8444D" w14:textId="77777777" w:rsidR="00734315" w:rsidRDefault="00734315" w:rsidP="00734315">
      <w:pPr>
        <w:pStyle w:val="NoSpacing"/>
        <w:tabs>
          <w:tab w:val="left" w:pos="720"/>
        </w:tabs>
        <w:ind w:left="720" w:hanging="720"/>
        <w:rPr>
          <w:rFonts w:ascii="Garamond" w:hAnsi="Garamond"/>
        </w:rPr>
      </w:pPr>
    </w:p>
    <w:p w14:paraId="65F133AF" w14:textId="77777777" w:rsidR="00734315" w:rsidRDefault="00734315" w:rsidP="00734315">
      <w:pPr>
        <w:pStyle w:val="NoSpacing"/>
        <w:tabs>
          <w:tab w:val="left" w:pos="720"/>
        </w:tabs>
        <w:ind w:left="720" w:hanging="720"/>
        <w:rPr>
          <w:rFonts w:ascii="Garamond" w:hAnsi="Garamond"/>
        </w:rPr>
      </w:pPr>
      <w:r w:rsidRPr="00B077F2">
        <w:rPr>
          <w:rFonts w:ascii="Garamond" w:hAnsi="Garamond"/>
        </w:rPr>
        <w:t>Gilbreath J</w:t>
      </w:r>
      <w:r>
        <w:rPr>
          <w:rFonts w:ascii="Garamond" w:hAnsi="Garamond"/>
        </w:rPr>
        <w:t>.</w:t>
      </w:r>
      <w:r w:rsidRPr="00B077F2">
        <w:rPr>
          <w:rFonts w:ascii="Garamond" w:hAnsi="Garamond"/>
        </w:rPr>
        <w:t xml:space="preserve"> </w:t>
      </w:r>
      <w:r>
        <w:rPr>
          <w:rFonts w:ascii="Garamond" w:hAnsi="Garamond"/>
        </w:rPr>
        <w:t>(</w:t>
      </w:r>
      <w:r w:rsidRPr="00B077F2">
        <w:rPr>
          <w:rFonts w:ascii="Garamond" w:hAnsi="Garamond"/>
        </w:rPr>
        <w:t>2007</w:t>
      </w:r>
      <w:r>
        <w:rPr>
          <w:rFonts w:ascii="Garamond" w:hAnsi="Garamond"/>
        </w:rPr>
        <w:t>)</w:t>
      </w:r>
      <w:r w:rsidRPr="00B077F2">
        <w:rPr>
          <w:rFonts w:ascii="Garamond" w:hAnsi="Garamond"/>
        </w:rPr>
        <w:t xml:space="preserve">. IOM: The Economics of Better Environmental Health. </w:t>
      </w:r>
      <w:r w:rsidRPr="0050788D">
        <w:rPr>
          <w:rFonts w:ascii="Garamond" w:hAnsi="Garamond"/>
          <w:i/>
        </w:rPr>
        <w:t>Environmental Health Perspectives</w:t>
      </w:r>
      <w:r>
        <w:rPr>
          <w:rFonts w:ascii="Garamond" w:hAnsi="Garamond"/>
        </w:rPr>
        <w:t xml:space="preserve">. </w:t>
      </w:r>
      <w:r w:rsidRPr="00B077F2">
        <w:rPr>
          <w:rFonts w:ascii="Garamond" w:hAnsi="Garamond"/>
        </w:rPr>
        <w:t>115</w:t>
      </w:r>
      <w:r>
        <w:rPr>
          <w:rFonts w:ascii="Garamond" w:hAnsi="Garamond"/>
        </w:rPr>
        <w:t xml:space="preserve">(2), </w:t>
      </w:r>
      <w:r w:rsidRPr="00B077F2">
        <w:rPr>
          <w:rFonts w:ascii="Garamond" w:hAnsi="Garamond"/>
        </w:rPr>
        <w:t xml:space="preserve">A80- A81. </w:t>
      </w:r>
      <w:r w:rsidRPr="0050788D">
        <w:rPr>
          <w:rFonts w:ascii="Garamond" w:hAnsi="Garamond"/>
        </w:rPr>
        <w:t>PMCID: PMC1817696</w:t>
      </w:r>
      <w:r>
        <w:rPr>
          <w:rFonts w:ascii="Garamond" w:hAnsi="Garamond"/>
        </w:rPr>
        <w:t xml:space="preserve">. Retrieved from </w:t>
      </w:r>
      <w:hyperlink r:id="rId42" w:history="1">
        <w:r w:rsidRPr="006B5CB9">
          <w:rPr>
            <w:rStyle w:val="Hyperlink"/>
            <w:rFonts w:ascii="Garamond" w:hAnsi="Garamond"/>
          </w:rPr>
          <w:t>https://www.ncbi.nlm.nih.gov/pmc/articles/PMC1817696/</w:t>
        </w:r>
      </w:hyperlink>
      <w:r>
        <w:rPr>
          <w:rFonts w:ascii="Garamond" w:hAnsi="Garamond"/>
        </w:rPr>
        <w:t>. (</w:t>
      </w:r>
      <w:r w:rsidRPr="00106B50">
        <w:rPr>
          <w:rFonts w:ascii="Garamond" w:hAnsi="Garamond"/>
        </w:rPr>
        <w:t>Economists and public health analysts outlined developing methodologies to identify and quantify the health benefits of reduced air pollution and to pinpoint costs to industry of complying with air quality regulations</w:t>
      </w:r>
      <w:r>
        <w:rPr>
          <w:rFonts w:ascii="Garamond" w:hAnsi="Garamond"/>
        </w:rPr>
        <w:t xml:space="preserve"> during the </w:t>
      </w:r>
      <w:r w:rsidRPr="00106B50">
        <w:rPr>
          <w:rFonts w:ascii="Garamond" w:hAnsi="Garamond"/>
        </w:rPr>
        <w:t xml:space="preserve">November </w:t>
      </w:r>
      <w:r>
        <w:rPr>
          <w:rFonts w:ascii="Garamond" w:hAnsi="Garamond"/>
        </w:rPr>
        <w:t xml:space="preserve">14, </w:t>
      </w:r>
      <w:r w:rsidRPr="00106B50">
        <w:rPr>
          <w:rFonts w:ascii="Garamond" w:hAnsi="Garamond"/>
        </w:rPr>
        <w:t>2006 Roundtable on Environmental Health Sciences, Research, and Medicine</w:t>
      </w:r>
      <w:r>
        <w:rPr>
          <w:rFonts w:ascii="Garamond" w:hAnsi="Garamond"/>
        </w:rPr>
        <w:t>.)</w:t>
      </w:r>
    </w:p>
    <w:p w14:paraId="7158A81F" w14:textId="77777777" w:rsidR="00734315" w:rsidRDefault="00734315" w:rsidP="00734315">
      <w:pPr>
        <w:pStyle w:val="NoSpacing"/>
        <w:tabs>
          <w:tab w:val="left" w:pos="720"/>
        </w:tabs>
        <w:ind w:left="720" w:hanging="720"/>
        <w:rPr>
          <w:rFonts w:ascii="Garamond" w:hAnsi="Garamond"/>
        </w:rPr>
      </w:pPr>
    </w:p>
    <w:p w14:paraId="7136AE83" w14:textId="77777777" w:rsidR="00734315" w:rsidRDefault="00734315" w:rsidP="00734315">
      <w:pPr>
        <w:pStyle w:val="NoSpacing"/>
        <w:tabs>
          <w:tab w:val="left" w:pos="720"/>
        </w:tabs>
        <w:ind w:left="720" w:hanging="720"/>
        <w:rPr>
          <w:rFonts w:ascii="Garamond" w:hAnsi="Garamond"/>
        </w:rPr>
      </w:pPr>
      <w:r>
        <w:rPr>
          <w:rFonts w:ascii="Garamond" w:hAnsi="Garamond"/>
        </w:rPr>
        <w:t xml:space="preserve">Heerwagen, J. (2006). </w:t>
      </w:r>
      <w:r w:rsidRPr="002C09DD">
        <w:rPr>
          <w:rFonts w:ascii="Garamond" w:hAnsi="Garamond"/>
          <w:i/>
        </w:rPr>
        <w:t>Investing in People: The Social Benefit of Sustainable Design.</w:t>
      </w:r>
      <w:r>
        <w:rPr>
          <w:rFonts w:ascii="Garamond" w:hAnsi="Garamond"/>
        </w:rPr>
        <w:t xml:space="preserve"> P</w:t>
      </w:r>
      <w:r w:rsidRPr="000A14B1">
        <w:rPr>
          <w:rFonts w:ascii="Garamond" w:hAnsi="Garamond"/>
        </w:rPr>
        <w:t>resented at Rethinking Sust</w:t>
      </w:r>
      <w:r>
        <w:rPr>
          <w:rFonts w:ascii="Garamond" w:hAnsi="Garamond"/>
        </w:rPr>
        <w:t>ainable Construction 2006</w:t>
      </w:r>
      <w:r w:rsidRPr="000A14B1">
        <w:rPr>
          <w:rFonts w:ascii="Garamond" w:hAnsi="Garamond"/>
        </w:rPr>
        <w:t>, Sarasota,</w:t>
      </w:r>
      <w:r>
        <w:rPr>
          <w:rFonts w:ascii="Garamond" w:hAnsi="Garamond"/>
        </w:rPr>
        <w:t xml:space="preserve"> FL,</w:t>
      </w:r>
      <w:r w:rsidRPr="000A14B1">
        <w:rPr>
          <w:rFonts w:ascii="Garamond" w:hAnsi="Garamond"/>
        </w:rPr>
        <w:t xml:space="preserve"> 19-22 September 2006</w:t>
      </w:r>
      <w:r>
        <w:rPr>
          <w:rFonts w:ascii="Garamond" w:hAnsi="Garamond"/>
        </w:rPr>
        <w:t xml:space="preserve">. Retrieved from </w:t>
      </w:r>
      <w:hyperlink r:id="rId43" w:history="1">
        <w:r w:rsidRPr="006B5CB9">
          <w:rPr>
            <w:rStyle w:val="Hyperlink"/>
            <w:rFonts w:ascii="Garamond" w:hAnsi="Garamond"/>
          </w:rPr>
          <w:t>https://www.cce.ufl.edu/rethinking-sustainable-construction-2006/</w:t>
        </w:r>
      </w:hyperlink>
      <w:r>
        <w:rPr>
          <w:rFonts w:ascii="Garamond" w:hAnsi="Garamond"/>
        </w:rPr>
        <w:t>. (</w:t>
      </w:r>
      <w:r w:rsidRPr="002C09DD">
        <w:rPr>
          <w:rFonts w:ascii="Garamond" w:hAnsi="Garamond"/>
        </w:rPr>
        <w:t>This paper provides an overview of theory and re</w:t>
      </w:r>
      <w:r>
        <w:rPr>
          <w:rFonts w:ascii="Garamond" w:hAnsi="Garamond"/>
        </w:rPr>
        <w:t xml:space="preserve">search on the human benefits of </w:t>
      </w:r>
      <w:r w:rsidRPr="002C09DD">
        <w:rPr>
          <w:rFonts w:ascii="Garamond" w:hAnsi="Garamond"/>
        </w:rPr>
        <w:t>building design</w:t>
      </w:r>
      <w:r>
        <w:rPr>
          <w:rFonts w:ascii="Garamond" w:hAnsi="Garamond"/>
        </w:rPr>
        <w:t xml:space="preserve">, which includes improved health outcomes, </w:t>
      </w:r>
      <w:r w:rsidRPr="002C09DD">
        <w:rPr>
          <w:rFonts w:ascii="Garamond" w:hAnsi="Garamond"/>
        </w:rPr>
        <w:t>psychological well being, reduced stress, impr</w:t>
      </w:r>
      <w:r>
        <w:rPr>
          <w:rFonts w:ascii="Garamond" w:hAnsi="Garamond"/>
        </w:rPr>
        <w:t xml:space="preserve">oved cognitive performance, and </w:t>
      </w:r>
      <w:r w:rsidRPr="002C09DD">
        <w:rPr>
          <w:rFonts w:ascii="Garamond" w:hAnsi="Garamond"/>
        </w:rPr>
        <w:t>improved work and life satisfaction</w:t>
      </w:r>
      <w:r>
        <w:rPr>
          <w:rFonts w:ascii="Garamond" w:hAnsi="Garamond"/>
        </w:rPr>
        <w:t>.)</w:t>
      </w:r>
    </w:p>
    <w:p w14:paraId="59D1BE2A" w14:textId="77777777" w:rsidR="00734315" w:rsidRDefault="00734315" w:rsidP="00734315">
      <w:pPr>
        <w:pStyle w:val="NoSpacing"/>
        <w:tabs>
          <w:tab w:val="left" w:pos="720"/>
        </w:tabs>
        <w:ind w:left="720" w:hanging="720"/>
        <w:rPr>
          <w:rFonts w:ascii="Garamond" w:hAnsi="Garamond"/>
        </w:rPr>
      </w:pPr>
    </w:p>
    <w:p w14:paraId="5E7944B9" w14:textId="1C50C057" w:rsidR="00734315" w:rsidRPr="00021BA3" w:rsidRDefault="00734315" w:rsidP="00734315">
      <w:pPr>
        <w:pStyle w:val="NoSpacing"/>
        <w:tabs>
          <w:tab w:val="left" w:pos="720"/>
        </w:tabs>
        <w:ind w:left="720" w:hanging="720"/>
        <w:rPr>
          <w:rFonts w:ascii="Garamond" w:hAnsi="Garamond"/>
        </w:rPr>
      </w:pPr>
      <w:r w:rsidRPr="003C7151">
        <w:rPr>
          <w:rFonts w:ascii="Garamond" w:hAnsi="Garamond"/>
        </w:rPr>
        <w:t xml:space="preserve">Hertz, J. (n.d.). </w:t>
      </w:r>
      <w:r w:rsidRPr="003C7151">
        <w:rPr>
          <w:rFonts w:ascii="Garamond" w:hAnsi="Garamond"/>
          <w:i/>
        </w:rPr>
        <w:t>Going Beyond Traditional Economic Thinking, Get</w:t>
      </w:r>
      <w:r w:rsidR="00A35A65">
        <w:rPr>
          <w:rFonts w:ascii="Garamond" w:hAnsi="Garamond"/>
          <w:i/>
        </w:rPr>
        <w:t>s Positive Health Outcomes.</w:t>
      </w:r>
      <w:r w:rsidRPr="003C7151">
        <w:rPr>
          <w:rFonts w:ascii="Garamond" w:hAnsi="Garamond"/>
        </w:rPr>
        <w:t xml:space="preserve"> (This short paper discusses the need for human and environmental health to move to the front line of economic decision-making.)</w:t>
      </w:r>
    </w:p>
    <w:p w14:paraId="6D4E4386" w14:textId="77777777" w:rsidR="00734315" w:rsidRPr="00C739AA" w:rsidRDefault="00734315" w:rsidP="00734315">
      <w:pPr>
        <w:pStyle w:val="NoSpacing"/>
        <w:tabs>
          <w:tab w:val="left" w:pos="720"/>
        </w:tabs>
        <w:ind w:left="720" w:hanging="720"/>
        <w:rPr>
          <w:rFonts w:ascii="Garamond" w:hAnsi="Garamond"/>
        </w:rPr>
      </w:pPr>
    </w:p>
    <w:p w14:paraId="6E814F1B" w14:textId="77777777" w:rsidR="00734315" w:rsidRPr="00C739AA" w:rsidRDefault="00734315" w:rsidP="00734315">
      <w:pPr>
        <w:pStyle w:val="NoSpacing"/>
        <w:tabs>
          <w:tab w:val="left" w:pos="720"/>
        </w:tabs>
        <w:ind w:left="720" w:hanging="720"/>
        <w:rPr>
          <w:rFonts w:ascii="Garamond" w:hAnsi="Garamond"/>
        </w:rPr>
      </w:pPr>
      <w:r>
        <w:rPr>
          <w:rFonts w:ascii="Garamond" w:hAnsi="Garamond"/>
        </w:rPr>
        <w:t xml:space="preserve">Kramer, A., et al. (2014). </w:t>
      </w:r>
      <w:r w:rsidRPr="00F5614A">
        <w:rPr>
          <w:rFonts w:ascii="Garamond" w:hAnsi="Garamond"/>
          <w:i/>
        </w:rPr>
        <w:t>Building for Wellness: The Business Case</w:t>
      </w:r>
      <w:r>
        <w:rPr>
          <w:rFonts w:ascii="Garamond" w:hAnsi="Garamond"/>
        </w:rPr>
        <w:t xml:space="preserve">. Washington, D.C.: </w:t>
      </w:r>
      <w:r w:rsidRPr="00F5614A">
        <w:rPr>
          <w:rFonts w:ascii="Garamond" w:hAnsi="Garamond"/>
        </w:rPr>
        <w:t>Urban Land Institute</w:t>
      </w:r>
      <w:r>
        <w:rPr>
          <w:rFonts w:ascii="Garamond" w:hAnsi="Garamond"/>
        </w:rPr>
        <w:t xml:space="preserve">. Retrieved from </w:t>
      </w:r>
      <w:hyperlink r:id="rId44" w:history="1">
        <w:r w:rsidRPr="006B5CB9">
          <w:rPr>
            <w:rStyle w:val="Hyperlink"/>
            <w:rFonts w:ascii="Garamond" w:hAnsi="Garamond"/>
          </w:rPr>
          <w:t>http://americas.uli.org/wp-content/uploads/ULI-Documents/Building-for-Wellness-The-Business-Case.pdf</w:t>
        </w:r>
      </w:hyperlink>
      <w:r>
        <w:rPr>
          <w:rFonts w:ascii="Garamond" w:hAnsi="Garamond"/>
        </w:rPr>
        <w:t>. (</w:t>
      </w:r>
      <w:r w:rsidRPr="0051727B">
        <w:rPr>
          <w:rFonts w:ascii="Garamond" w:hAnsi="Garamond"/>
        </w:rPr>
        <w:t>In 13</w:t>
      </w:r>
      <w:r>
        <w:rPr>
          <w:rFonts w:ascii="Garamond" w:hAnsi="Garamond"/>
        </w:rPr>
        <w:t xml:space="preserve"> sets of interviews, private sector developers </w:t>
      </w:r>
      <w:r w:rsidRPr="0051727B">
        <w:rPr>
          <w:rFonts w:ascii="Garamond" w:hAnsi="Garamond"/>
        </w:rPr>
        <w:t>explain their moti</w:t>
      </w:r>
      <w:r>
        <w:rPr>
          <w:rFonts w:ascii="Garamond" w:hAnsi="Garamond"/>
        </w:rPr>
        <w:t xml:space="preserve">vation, their intended wellness </w:t>
      </w:r>
      <w:r w:rsidRPr="0051727B">
        <w:rPr>
          <w:rFonts w:ascii="Garamond" w:hAnsi="Garamond"/>
        </w:rPr>
        <w:t>and health outcom</w:t>
      </w:r>
      <w:r>
        <w:rPr>
          <w:rFonts w:ascii="Garamond" w:hAnsi="Garamond"/>
        </w:rPr>
        <w:t xml:space="preserve">es, the development process and </w:t>
      </w:r>
      <w:r w:rsidRPr="0051727B">
        <w:rPr>
          <w:rFonts w:ascii="Garamond" w:hAnsi="Garamond"/>
        </w:rPr>
        <w:t xml:space="preserve">operations as related </w:t>
      </w:r>
      <w:r>
        <w:rPr>
          <w:rFonts w:ascii="Garamond" w:hAnsi="Garamond"/>
        </w:rPr>
        <w:t xml:space="preserve">to their health intentions, and </w:t>
      </w:r>
      <w:r w:rsidRPr="0051727B">
        <w:rPr>
          <w:rFonts w:ascii="Garamond" w:hAnsi="Garamond"/>
        </w:rPr>
        <w:t xml:space="preserve">the key issue in </w:t>
      </w:r>
      <w:r>
        <w:rPr>
          <w:rFonts w:ascii="Garamond" w:hAnsi="Garamond"/>
        </w:rPr>
        <w:t xml:space="preserve">this publication—the metrics of </w:t>
      </w:r>
      <w:r w:rsidRPr="0051727B">
        <w:rPr>
          <w:rFonts w:ascii="Garamond" w:hAnsi="Garamond"/>
        </w:rPr>
        <w:t xml:space="preserve">market </w:t>
      </w:r>
      <w:r w:rsidRPr="00C739AA">
        <w:rPr>
          <w:rFonts w:ascii="Garamond" w:hAnsi="Garamond"/>
        </w:rPr>
        <w:t>performance.)</w:t>
      </w:r>
    </w:p>
    <w:p w14:paraId="71C4C082" w14:textId="77777777" w:rsidR="00734315" w:rsidRPr="00C739AA" w:rsidRDefault="00734315" w:rsidP="00734315">
      <w:pPr>
        <w:pStyle w:val="NoSpacing"/>
        <w:tabs>
          <w:tab w:val="left" w:pos="720"/>
        </w:tabs>
        <w:ind w:left="720" w:hanging="720"/>
        <w:rPr>
          <w:rFonts w:ascii="Garamond" w:hAnsi="Garamond"/>
        </w:rPr>
      </w:pPr>
    </w:p>
    <w:p w14:paraId="633C3757" w14:textId="2DA47B82" w:rsidR="00B74CCF" w:rsidRDefault="00B74CCF" w:rsidP="00734315">
      <w:pPr>
        <w:pStyle w:val="NoSpacing"/>
        <w:tabs>
          <w:tab w:val="left" w:pos="720"/>
        </w:tabs>
        <w:ind w:left="720" w:hanging="720"/>
        <w:rPr>
          <w:rFonts w:ascii="Garamond" w:hAnsi="Garamond"/>
        </w:rPr>
      </w:pPr>
      <w:r w:rsidRPr="00B74CCF">
        <w:rPr>
          <w:rFonts w:ascii="Garamond" w:hAnsi="Garamond"/>
        </w:rPr>
        <w:t>Laurin, L., Hayashi, K.</w:t>
      </w:r>
      <w:r w:rsidR="00A35A65">
        <w:rPr>
          <w:rFonts w:ascii="Garamond" w:hAnsi="Garamond"/>
        </w:rPr>
        <w:t xml:space="preserve"> (n.d.)</w:t>
      </w:r>
      <w:r w:rsidRPr="00B74CCF">
        <w:rPr>
          <w:rFonts w:ascii="Garamond" w:hAnsi="Garamond"/>
        </w:rPr>
        <w:t xml:space="preserve"> </w:t>
      </w:r>
      <w:r w:rsidRPr="00A35A65">
        <w:rPr>
          <w:rFonts w:ascii="Garamond" w:hAnsi="Garamond"/>
          <w:i/>
        </w:rPr>
        <w:t>Sustainability Return on Investment: A Scenario-based Multicriteria Assessment Toll for Policy-Making</w:t>
      </w:r>
      <w:r w:rsidRPr="00B74CCF">
        <w:rPr>
          <w:rFonts w:ascii="Garamond" w:hAnsi="Garamond"/>
        </w:rPr>
        <w:t xml:space="preserve">. </w:t>
      </w:r>
      <w:hyperlink r:id="rId45" w:history="1">
        <w:r w:rsidRPr="005D4EBA">
          <w:rPr>
            <w:rStyle w:val="Hyperlink"/>
            <w:rFonts w:ascii="Garamond" w:hAnsi="Garamond"/>
          </w:rPr>
          <w:t>https://www.earthshiftglobal.com/docs/sroi-scenario-based-multi-criteria-assessment-tool-policy-japan.pdf</w:t>
        </w:r>
      </w:hyperlink>
      <w:r>
        <w:rPr>
          <w:rFonts w:ascii="Garamond" w:hAnsi="Garamond"/>
        </w:rPr>
        <w:t xml:space="preserve"> </w:t>
      </w:r>
    </w:p>
    <w:p w14:paraId="63A0F2BE" w14:textId="77777777" w:rsidR="00B74CCF" w:rsidRDefault="00B74CCF" w:rsidP="00734315">
      <w:pPr>
        <w:pStyle w:val="NoSpacing"/>
        <w:tabs>
          <w:tab w:val="left" w:pos="720"/>
        </w:tabs>
        <w:ind w:left="720" w:hanging="720"/>
        <w:rPr>
          <w:rFonts w:ascii="Garamond" w:hAnsi="Garamond"/>
        </w:rPr>
      </w:pPr>
    </w:p>
    <w:p w14:paraId="241A2541" w14:textId="0BC6C5DA" w:rsidR="00734315" w:rsidRDefault="00734315" w:rsidP="00734315">
      <w:pPr>
        <w:pStyle w:val="NoSpacing"/>
        <w:tabs>
          <w:tab w:val="left" w:pos="720"/>
        </w:tabs>
        <w:ind w:left="720" w:hanging="720"/>
        <w:rPr>
          <w:rFonts w:ascii="Garamond" w:hAnsi="Garamond"/>
        </w:rPr>
      </w:pPr>
      <w:r>
        <w:rPr>
          <w:rFonts w:ascii="Garamond" w:hAnsi="Garamond"/>
        </w:rPr>
        <w:lastRenderedPageBreak/>
        <w:t xml:space="preserve">Project for Public Spaces. (2016). </w:t>
      </w:r>
      <w:r w:rsidRPr="00A35A65">
        <w:rPr>
          <w:rFonts w:ascii="Garamond" w:hAnsi="Garamond"/>
          <w:i/>
        </w:rPr>
        <w:t>The Case for Healthy Places: Improving Health Outcomes through Placemaking.</w:t>
      </w:r>
      <w:r>
        <w:rPr>
          <w:rFonts w:ascii="Garamond" w:hAnsi="Garamond"/>
        </w:rPr>
        <w:t xml:space="preserve"> Retrieved from </w:t>
      </w:r>
      <w:hyperlink r:id="rId46" w:history="1">
        <w:r w:rsidRPr="006B5CB9">
          <w:rPr>
            <w:rStyle w:val="Hyperlink"/>
            <w:rFonts w:ascii="Garamond" w:hAnsi="Garamond"/>
          </w:rPr>
          <w:t>https://www.pps.org/wp-content/uploads/2016/12/Healthy-Places-PPS.pdf</w:t>
        </w:r>
      </w:hyperlink>
      <w:r>
        <w:rPr>
          <w:rFonts w:ascii="Garamond" w:hAnsi="Garamond"/>
        </w:rPr>
        <w:t xml:space="preserve">. (This article </w:t>
      </w:r>
      <w:r w:rsidRPr="00FA0A2B">
        <w:rPr>
          <w:rFonts w:ascii="Garamond" w:hAnsi="Garamond"/>
        </w:rPr>
        <w:t>discusses the social determinants of health and how place making improves physical and mental health for all.</w:t>
      </w:r>
      <w:r>
        <w:rPr>
          <w:rFonts w:ascii="Garamond" w:hAnsi="Garamond"/>
        </w:rPr>
        <w:t>)</w:t>
      </w:r>
    </w:p>
    <w:p w14:paraId="1A13E2FE" w14:textId="77777777" w:rsidR="00734315" w:rsidRDefault="00734315" w:rsidP="00734315">
      <w:pPr>
        <w:pStyle w:val="NoSpacing"/>
        <w:tabs>
          <w:tab w:val="left" w:pos="720"/>
        </w:tabs>
        <w:ind w:left="720" w:hanging="720"/>
        <w:rPr>
          <w:rFonts w:ascii="Garamond" w:hAnsi="Garamond"/>
        </w:rPr>
      </w:pPr>
    </w:p>
    <w:p w14:paraId="07F7DC7B" w14:textId="77777777" w:rsidR="00734315" w:rsidRDefault="00734315" w:rsidP="00734315">
      <w:pPr>
        <w:pStyle w:val="NoSpacing"/>
        <w:tabs>
          <w:tab w:val="left" w:pos="720"/>
        </w:tabs>
        <w:ind w:left="720" w:hanging="720"/>
        <w:rPr>
          <w:rFonts w:ascii="Garamond" w:hAnsi="Garamond"/>
        </w:rPr>
      </w:pPr>
      <w:r>
        <w:rPr>
          <w:rFonts w:ascii="Garamond" w:hAnsi="Garamond"/>
        </w:rPr>
        <w:t xml:space="preserve">Saari, A., et al. (2006). </w:t>
      </w:r>
      <w:r w:rsidRPr="00520293">
        <w:rPr>
          <w:rFonts w:ascii="Garamond" w:hAnsi="Garamond"/>
        </w:rPr>
        <w:t>The effect of a redesigned floor plan, o</w:t>
      </w:r>
      <w:r>
        <w:rPr>
          <w:rFonts w:ascii="Garamond" w:hAnsi="Garamond"/>
        </w:rPr>
        <w:t xml:space="preserve">ccupant density and the quality </w:t>
      </w:r>
      <w:r w:rsidRPr="00520293">
        <w:rPr>
          <w:rFonts w:ascii="Garamond" w:hAnsi="Garamond"/>
        </w:rPr>
        <w:t>of indoor climate on the cost of space,</w:t>
      </w:r>
      <w:r>
        <w:rPr>
          <w:rFonts w:ascii="Garamond" w:hAnsi="Garamond"/>
        </w:rPr>
        <w:t xml:space="preserve"> productivity and sick leave in </w:t>
      </w:r>
      <w:r w:rsidRPr="00520293">
        <w:rPr>
          <w:rFonts w:ascii="Garamond" w:hAnsi="Garamond"/>
        </w:rPr>
        <w:t>an office building–A case study</w:t>
      </w:r>
      <w:r>
        <w:rPr>
          <w:rFonts w:ascii="Garamond" w:hAnsi="Garamond"/>
        </w:rPr>
        <w:t xml:space="preserve">. </w:t>
      </w:r>
      <w:r w:rsidRPr="00520293">
        <w:rPr>
          <w:rFonts w:ascii="Garamond" w:hAnsi="Garamond"/>
          <w:i/>
        </w:rPr>
        <w:t>Building and Environment</w:t>
      </w:r>
      <w:r>
        <w:rPr>
          <w:rFonts w:ascii="Garamond" w:hAnsi="Garamond"/>
        </w:rPr>
        <w:t>.</w:t>
      </w:r>
      <w:r>
        <w:rPr>
          <w:rFonts w:ascii="Garamond" w:hAnsi="Garamond"/>
          <w:i/>
        </w:rPr>
        <w:t xml:space="preserve"> </w:t>
      </w:r>
      <w:r>
        <w:rPr>
          <w:rFonts w:ascii="Garamond" w:hAnsi="Garamond"/>
        </w:rPr>
        <w:t xml:space="preserve">41(12), 1961-1972. DOI: </w:t>
      </w:r>
      <w:hyperlink r:id="rId47" w:history="1">
        <w:r w:rsidRPr="006B5CB9">
          <w:rPr>
            <w:rStyle w:val="Hyperlink"/>
            <w:rFonts w:ascii="Garamond" w:hAnsi="Garamond"/>
          </w:rPr>
          <w:t>https://doi.org/10.1016/j.buildenv.2005.07.012</w:t>
        </w:r>
      </w:hyperlink>
      <w:r>
        <w:rPr>
          <w:rFonts w:ascii="Garamond" w:hAnsi="Garamond"/>
        </w:rPr>
        <w:t>. (</w:t>
      </w:r>
      <w:r w:rsidRPr="00520293">
        <w:rPr>
          <w:rFonts w:ascii="Garamond" w:hAnsi="Garamond"/>
        </w:rPr>
        <w:t>The study indicates that investment in the quality of indoor climate is cost-effective when the economic effect of indoor climate to health and productivity are taken into account in addition to the costs of investment, operation and maintenance.</w:t>
      </w:r>
      <w:r>
        <w:rPr>
          <w:rFonts w:ascii="Garamond" w:hAnsi="Garamond"/>
        </w:rPr>
        <w:t>)</w:t>
      </w:r>
    </w:p>
    <w:p w14:paraId="4AD2029F" w14:textId="77777777" w:rsidR="00734315" w:rsidRDefault="00734315" w:rsidP="00734315">
      <w:pPr>
        <w:pStyle w:val="NoSpacing"/>
        <w:tabs>
          <w:tab w:val="left" w:pos="720"/>
        </w:tabs>
        <w:ind w:left="720" w:hanging="720"/>
        <w:rPr>
          <w:rFonts w:ascii="Garamond" w:hAnsi="Garamond"/>
        </w:rPr>
      </w:pPr>
    </w:p>
    <w:p w14:paraId="30713CE8" w14:textId="7E49E62B" w:rsidR="00734315" w:rsidRDefault="00734315" w:rsidP="00B74CCF">
      <w:pPr>
        <w:pStyle w:val="NoSpacing"/>
        <w:tabs>
          <w:tab w:val="left" w:pos="720"/>
        </w:tabs>
        <w:ind w:left="720" w:hanging="720"/>
        <w:rPr>
          <w:rFonts w:ascii="Garamond" w:hAnsi="Garamond"/>
        </w:rPr>
      </w:pPr>
      <w:r>
        <w:rPr>
          <w:rFonts w:ascii="Garamond" w:hAnsi="Garamond"/>
        </w:rPr>
        <w:t xml:space="preserve">Sadler, B. L., et al. (2011). Fable Hospital 2.0: The Business Case for Building Better Health </w:t>
      </w:r>
      <w:r w:rsidRPr="009F1C95">
        <w:rPr>
          <w:rFonts w:ascii="Garamond" w:hAnsi="Garamond"/>
        </w:rPr>
        <w:t>Care Facilities</w:t>
      </w:r>
      <w:r>
        <w:rPr>
          <w:rFonts w:ascii="Garamond" w:hAnsi="Garamond"/>
        </w:rPr>
        <w:t xml:space="preserve">. </w:t>
      </w:r>
      <w:r w:rsidRPr="009F1C95">
        <w:rPr>
          <w:rFonts w:ascii="Garamond" w:hAnsi="Garamond"/>
          <w:i/>
        </w:rPr>
        <w:t>Hastings Center Report</w:t>
      </w:r>
      <w:r>
        <w:rPr>
          <w:rFonts w:ascii="Garamond" w:hAnsi="Garamond"/>
        </w:rPr>
        <w:t xml:space="preserve">. 41(1), 12-23. Retrieved from </w:t>
      </w:r>
      <w:hyperlink r:id="rId48" w:history="1">
        <w:r w:rsidRPr="006B5CB9">
          <w:rPr>
            <w:rStyle w:val="Hyperlink"/>
            <w:rFonts w:ascii="Garamond" w:hAnsi="Garamond"/>
          </w:rPr>
          <w:t>http://www.thehastingscenter.org/wp-content/uploads/SadleretalFableHospitalBusinessCase_HastingsJan111.pdf</w:t>
        </w:r>
      </w:hyperlink>
      <w:r>
        <w:rPr>
          <w:rFonts w:ascii="Garamond" w:hAnsi="Garamond"/>
        </w:rPr>
        <w:t>. (</w:t>
      </w:r>
      <w:r w:rsidRPr="006252E4">
        <w:rPr>
          <w:rFonts w:ascii="Garamond" w:hAnsi="Garamond"/>
        </w:rPr>
        <w:t>The Center for Health Design’s Fable Hospital</w:t>
      </w:r>
      <w:r>
        <w:rPr>
          <w:rFonts w:ascii="Garamond" w:hAnsi="Garamond"/>
        </w:rPr>
        <w:t>, an imaginary facility,</w:t>
      </w:r>
      <w:r w:rsidRPr="006252E4">
        <w:rPr>
          <w:rFonts w:ascii="Garamond" w:hAnsi="Garamond"/>
        </w:rPr>
        <w:t xml:space="preserve"> has shown ROI on evidence-based design elements</w:t>
      </w:r>
      <w:r>
        <w:rPr>
          <w:rFonts w:ascii="Garamond" w:hAnsi="Garamond"/>
        </w:rPr>
        <w:t>.)</w:t>
      </w:r>
    </w:p>
    <w:p w14:paraId="740FFF25" w14:textId="77777777" w:rsidR="00B74CCF" w:rsidRDefault="00B74CCF" w:rsidP="00B74CCF">
      <w:pPr>
        <w:pStyle w:val="NoSpacing"/>
        <w:tabs>
          <w:tab w:val="left" w:pos="720"/>
        </w:tabs>
        <w:ind w:left="720" w:hanging="720"/>
        <w:rPr>
          <w:rFonts w:ascii="Garamond" w:hAnsi="Garamond"/>
        </w:rPr>
      </w:pPr>
    </w:p>
    <w:p w14:paraId="033A4B41" w14:textId="77777777" w:rsidR="00734315" w:rsidRDefault="00734315" w:rsidP="00734315">
      <w:pPr>
        <w:pStyle w:val="NoSpacing"/>
        <w:tabs>
          <w:tab w:val="left" w:pos="720"/>
        </w:tabs>
        <w:ind w:left="720" w:hanging="720"/>
        <w:rPr>
          <w:rFonts w:ascii="Garamond" w:hAnsi="Garamond"/>
        </w:rPr>
      </w:pPr>
    </w:p>
    <w:p w14:paraId="6E65AE37" w14:textId="77777777" w:rsidR="00734315" w:rsidRPr="00EA7E98" w:rsidRDefault="00734315" w:rsidP="00A03DB7">
      <w:pPr>
        <w:pStyle w:val="Heading3"/>
      </w:pPr>
      <w:r w:rsidRPr="00EA7E98">
        <w:t>Healthy Food, Cafeterias, Concessions</w:t>
      </w:r>
    </w:p>
    <w:p w14:paraId="4DD95743" w14:textId="77777777" w:rsidR="00734315" w:rsidRPr="00EA7E98" w:rsidRDefault="00734315" w:rsidP="00734315">
      <w:pPr>
        <w:pStyle w:val="NoSpacing"/>
        <w:rPr>
          <w:rFonts w:ascii="Garamond" w:hAnsi="Garamond"/>
        </w:rPr>
      </w:pPr>
    </w:p>
    <w:p w14:paraId="25F589AC" w14:textId="77777777" w:rsidR="00734315" w:rsidRDefault="00734315" w:rsidP="00734315">
      <w:pPr>
        <w:pStyle w:val="NoSpacing"/>
        <w:tabs>
          <w:tab w:val="left" w:pos="720"/>
        </w:tabs>
        <w:ind w:left="720" w:hanging="720"/>
        <w:rPr>
          <w:rFonts w:ascii="Garamond" w:hAnsi="Garamond"/>
        </w:rPr>
      </w:pPr>
      <w:r w:rsidRPr="003C7151">
        <w:rPr>
          <w:rFonts w:ascii="Garamond" w:hAnsi="Garamond"/>
        </w:rPr>
        <w:t xml:space="preserve">Anderson, L. M., et al. (2009). The Effectiveness of Worksite Nutrition and Physical Activity Interventions for Controlling Employee Overweight and Obesity: A Systematic Review. </w:t>
      </w:r>
      <w:r w:rsidRPr="00A35A65">
        <w:rPr>
          <w:rFonts w:ascii="Garamond" w:hAnsi="Garamond"/>
          <w:i/>
        </w:rPr>
        <w:t>American Journal of Preventive Medicine</w:t>
      </w:r>
      <w:r w:rsidRPr="003C7151">
        <w:rPr>
          <w:rFonts w:ascii="Garamond" w:hAnsi="Garamond"/>
        </w:rPr>
        <w:t xml:space="preserve">, 37(4), 340-357. DOI: </w:t>
      </w:r>
      <w:hyperlink r:id="rId49" w:history="1">
        <w:r w:rsidRPr="003C7151">
          <w:rPr>
            <w:rStyle w:val="Hyperlink"/>
            <w:rFonts w:ascii="Garamond" w:hAnsi="Garamond"/>
          </w:rPr>
          <w:t>http://dx.doi.org/10.1016/j.amepre.2009.07.003</w:t>
        </w:r>
      </w:hyperlink>
      <w:r w:rsidRPr="003C7151">
        <w:rPr>
          <w:rFonts w:ascii="Garamond" w:hAnsi="Garamond"/>
        </w:rPr>
        <w:t>. (This report presents the results of a systematic review of the effectiveness of worksite nutrition and physical activity programs to promote healthy weight among employees.)</w:t>
      </w:r>
    </w:p>
    <w:p w14:paraId="57AF4747" w14:textId="77777777" w:rsidR="00734315" w:rsidRPr="00EA7E98" w:rsidRDefault="00734315" w:rsidP="00734315">
      <w:pPr>
        <w:pStyle w:val="NoSpacing"/>
        <w:tabs>
          <w:tab w:val="left" w:pos="720"/>
        </w:tabs>
        <w:ind w:left="720" w:hanging="720"/>
        <w:rPr>
          <w:rFonts w:ascii="Garamond" w:hAnsi="Garamond"/>
        </w:rPr>
      </w:pPr>
    </w:p>
    <w:p w14:paraId="7A4E46AE" w14:textId="77777777" w:rsidR="00734315" w:rsidRDefault="00734315" w:rsidP="00734315">
      <w:pPr>
        <w:pStyle w:val="NoSpacing"/>
        <w:tabs>
          <w:tab w:val="left" w:pos="720"/>
        </w:tabs>
        <w:ind w:left="720" w:hanging="720"/>
        <w:rPr>
          <w:rFonts w:ascii="Garamond" w:hAnsi="Garamond"/>
        </w:rPr>
      </w:pPr>
      <w:r w:rsidRPr="00D60BEB">
        <w:rPr>
          <w:rFonts w:ascii="Garamond" w:hAnsi="Garamond"/>
        </w:rPr>
        <w:t>Bayne A</w:t>
      </w:r>
      <w:r>
        <w:rPr>
          <w:rFonts w:ascii="Garamond" w:hAnsi="Garamond"/>
        </w:rPr>
        <w:t xml:space="preserve">. </w:t>
      </w:r>
      <w:r w:rsidRPr="00D60BEB">
        <w:rPr>
          <w:rFonts w:ascii="Garamond" w:hAnsi="Garamond"/>
        </w:rPr>
        <w:t>I</w:t>
      </w:r>
      <w:r>
        <w:rPr>
          <w:rFonts w:ascii="Garamond" w:hAnsi="Garamond"/>
        </w:rPr>
        <w:t>.</w:t>
      </w:r>
      <w:r w:rsidRPr="00D60BEB">
        <w:rPr>
          <w:rFonts w:ascii="Garamond" w:hAnsi="Garamond"/>
        </w:rPr>
        <w:t>,</w:t>
      </w:r>
      <w:r>
        <w:rPr>
          <w:rFonts w:ascii="Garamond" w:hAnsi="Garamond"/>
        </w:rPr>
        <w:t xml:space="preserve"> et al. (2012).</w:t>
      </w:r>
      <w:r w:rsidRPr="00D60BEB">
        <w:rPr>
          <w:rFonts w:ascii="Garamond" w:hAnsi="Garamond"/>
        </w:rPr>
        <w:t xml:space="preserve"> </w:t>
      </w:r>
      <w:r w:rsidRPr="00D60BEB">
        <w:rPr>
          <w:rFonts w:ascii="Garamond" w:hAnsi="Garamond"/>
          <w:i/>
        </w:rPr>
        <w:t>The HHS Hubert H. Humphrey Building Cafeteria Experience: Incorporation of the Dietary Guidelines for Americans, 2010 into Federal Food Service Guidelines</w:t>
      </w:r>
      <w:r>
        <w:rPr>
          <w:rFonts w:ascii="Garamond" w:hAnsi="Garamond"/>
        </w:rPr>
        <w:t xml:space="preserve">. </w:t>
      </w:r>
      <w:r w:rsidRPr="00D60BEB">
        <w:rPr>
          <w:rFonts w:ascii="Garamond" w:hAnsi="Garamond"/>
        </w:rPr>
        <w:t>Prepared by NORC at the University of Chicago.</w:t>
      </w:r>
      <w:r>
        <w:rPr>
          <w:rFonts w:ascii="Garamond" w:hAnsi="Garamond"/>
        </w:rPr>
        <w:t xml:space="preserve"> Washington, DC: U.S. </w:t>
      </w:r>
      <w:r w:rsidRPr="00D60BEB">
        <w:rPr>
          <w:rFonts w:ascii="Garamond" w:hAnsi="Garamond"/>
        </w:rPr>
        <w:t>Department of Health and Human Services, Office of the Assis</w:t>
      </w:r>
      <w:r>
        <w:rPr>
          <w:rFonts w:ascii="Garamond" w:hAnsi="Garamond"/>
        </w:rPr>
        <w:t xml:space="preserve">tant Secretary for Planning and </w:t>
      </w:r>
      <w:r w:rsidRPr="00D60BEB">
        <w:rPr>
          <w:rFonts w:ascii="Garamond" w:hAnsi="Garamond"/>
        </w:rPr>
        <w:t xml:space="preserve">Evaluation. </w:t>
      </w:r>
      <w:r>
        <w:rPr>
          <w:rFonts w:ascii="Garamond" w:hAnsi="Garamond"/>
        </w:rPr>
        <w:t xml:space="preserve">Retrieved from </w:t>
      </w:r>
      <w:hyperlink r:id="rId50" w:history="1">
        <w:r w:rsidRPr="006B5CB9">
          <w:rPr>
            <w:rStyle w:val="Hyperlink"/>
            <w:rFonts w:ascii="Garamond" w:hAnsi="Garamond"/>
          </w:rPr>
          <w:t>https://aspe.hhs.gov/system/files/pdf/76606/rpt.pdf</w:t>
        </w:r>
      </w:hyperlink>
      <w:r>
        <w:rPr>
          <w:rFonts w:ascii="Garamond" w:hAnsi="Garamond"/>
        </w:rPr>
        <w:t>. (</w:t>
      </w:r>
      <w:r w:rsidRPr="0089790B">
        <w:rPr>
          <w:rFonts w:ascii="Garamond" w:hAnsi="Garamond"/>
        </w:rPr>
        <w:t xml:space="preserve">This case study describes the inception, development and implementation of the </w:t>
      </w:r>
      <w:r w:rsidRPr="0089790B">
        <w:rPr>
          <w:rFonts w:ascii="Garamond" w:hAnsi="Garamond"/>
          <w:i/>
        </w:rPr>
        <w:t>Health and Sustainability Guidelines for Federal Concessions and Vending Operations</w:t>
      </w:r>
      <w:r w:rsidRPr="0089790B">
        <w:rPr>
          <w:rFonts w:ascii="Garamond" w:hAnsi="Garamond"/>
        </w:rPr>
        <w:t>.)</w:t>
      </w:r>
    </w:p>
    <w:p w14:paraId="27FA83E3" w14:textId="77777777" w:rsidR="00734315" w:rsidRPr="00EA7E98" w:rsidRDefault="00734315" w:rsidP="00734315">
      <w:pPr>
        <w:pStyle w:val="NoSpacing"/>
        <w:tabs>
          <w:tab w:val="left" w:pos="720"/>
        </w:tabs>
        <w:ind w:left="720" w:hanging="720"/>
        <w:rPr>
          <w:rFonts w:ascii="Garamond" w:hAnsi="Garamond"/>
        </w:rPr>
      </w:pPr>
    </w:p>
    <w:p w14:paraId="50A26CE9" w14:textId="77777777" w:rsidR="00734315" w:rsidRPr="00EA7E98" w:rsidRDefault="00734315" w:rsidP="00734315">
      <w:pPr>
        <w:pStyle w:val="NoSpacing"/>
        <w:tabs>
          <w:tab w:val="left" w:pos="720"/>
        </w:tabs>
        <w:ind w:left="720" w:hanging="720"/>
        <w:rPr>
          <w:rFonts w:ascii="Garamond" w:hAnsi="Garamond"/>
        </w:rPr>
      </w:pPr>
      <w:r w:rsidRPr="00EA7E98">
        <w:rPr>
          <w:rFonts w:ascii="Garamond" w:hAnsi="Garamond"/>
        </w:rPr>
        <w:t xml:space="preserve">Federal Health and Sustainability Team for Concessions and Vending. (2014). </w:t>
      </w:r>
      <w:r w:rsidRPr="00A35A65">
        <w:rPr>
          <w:rFonts w:ascii="Garamond" w:hAnsi="Garamond"/>
          <w:i/>
        </w:rPr>
        <w:t>Health and Sustainability Guidelines for Federal Concessions and Vending Operations.</w:t>
      </w:r>
      <w:r>
        <w:rPr>
          <w:rFonts w:ascii="Garamond" w:hAnsi="Garamond"/>
        </w:rPr>
        <w:t xml:space="preserve"> Retrieved from</w:t>
      </w:r>
      <w:r w:rsidRPr="00EA7E98">
        <w:rPr>
          <w:rFonts w:ascii="Garamond" w:hAnsi="Garamond"/>
        </w:rPr>
        <w:t xml:space="preserve"> </w:t>
      </w:r>
      <w:hyperlink r:id="rId51" w:history="1">
        <w:r w:rsidRPr="00EA7E98">
          <w:rPr>
            <w:rStyle w:val="Hyperlink"/>
            <w:rFonts w:ascii="Garamond" w:hAnsi="Garamond"/>
          </w:rPr>
          <w:t>https://www.gsa.gov/cdnstatic/guidelines_for_federal_concessions_and_vending_operations_corrected_version.pdf</w:t>
        </w:r>
      </w:hyperlink>
      <w:r w:rsidRPr="00EA7E98">
        <w:rPr>
          <w:rFonts w:ascii="Garamond" w:hAnsi="Garamond"/>
        </w:rPr>
        <w:t>. (GSA and HHS worked collaboratively to create this document, which proposes specific food, nutrition, and sustainability guidelines.)</w:t>
      </w:r>
    </w:p>
    <w:p w14:paraId="0239117F" w14:textId="77777777" w:rsidR="00734315" w:rsidRPr="00EA7E98" w:rsidRDefault="00734315" w:rsidP="00734315">
      <w:pPr>
        <w:pStyle w:val="NoSpacing"/>
        <w:tabs>
          <w:tab w:val="left" w:pos="720"/>
        </w:tabs>
        <w:ind w:left="720" w:hanging="720"/>
        <w:rPr>
          <w:rFonts w:ascii="Garamond" w:hAnsi="Garamond"/>
        </w:rPr>
      </w:pPr>
    </w:p>
    <w:p w14:paraId="6260E95C" w14:textId="77777777" w:rsidR="00734315" w:rsidRPr="00EA7E98" w:rsidRDefault="00734315" w:rsidP="00734315">
      <w:pPr>
        <w:pStyle w:val="NoSpacing"/>
        <w:tabs>
          <w:tab w:val="left" w:pos="720"/>
        </w:tabs>
        <w:ind w:left="720" w:hanging="720"/>
        <w:rPr>
          <w:rFonts w:ascii="Garamond" w:hAnsi="Garamond"/>
        </w:rPr>
      </w:pPr>
      <w:r w:rsidRPr="00EA7E98">
        <w:rPr>
          <w:rFonts w:ascii="Garamond" w:hAnsi="Garamond"/>
        </w:rPr>
        <w:t xml:space="preserve">General Services Administration. (2017). </w:t>
      </w:r>
      <w:r w:rsidRPr="00A35A65">
        <w:rPr>
          <w:rFonts w:ascii="Garamond" w:hAnsi="Garamond"/>
          <w:i/>
        </w:rPr>
        <w:t>Concessions and Cafeterias: Healthy Food in the Federal Workplace</w:t>
      </w:r>
      <w:r w:rsidRPr="00EA7E98">
        <w:rPr>
          <w:rFonts w:ascii="Garamond" w:hAnsi="Garamond"/>
        </w:rPr>
        <w:t xml:space="preserve">. Retrieved from </w:t>
      </w:r>
      <w:hyperlink r:id="rId52" w:history="1">
        <w:r w:rsidRPr="00EA7E98">
          <w:rPr>
            <w:rStyle w:val="Hyperlink"/>
            <w:rFonts w:ascii="Garamond" w:hAnsi="Garamond"/>
          </w:rPr>
          <w:t>https://www.gsa.gov/real-estate/facilities-management/tenant-services/concessions-and-cafeterias-healthy-food-in-the-federal-workplace</w:t>
        </w:r>
      </w:hyperlink>
      <w:r w:rsidRPr="00EA7E98">
        <w:rPr>
          <w:rFonts w:ascii="Garamond" w:hAnsi="Garamond"/>
        </w:rPr>
        <w:t>. (GSA provides food service operations and vending facilities in federally owned and leased buildings through contracted, permitted and licensed business opportunities for commercial food service operators and blind merchants in support of the Randolph-Sheppard program.)</w:t>
      </w:r>
    </w:p>
    <w:p w14:paraId="0488A1CA" w14:textId="77777777" w:rsidR="00B74CCF" w:rsidRDefault="00B74CCF" w:rsidP="00A35A65">
      <w:pPr>
        <w:pStyle w:val="NoSpacing"/>
        <w:tabs>
          <w:tab w:val="left" w:pos="720"/>
        </w:tabs>
        <w:rPr>
          <w:rFonts w:ascii="Garamond" w:hAnsi="Garamond"/>
          <w:b/>
        </w:rPr>
      </w:pPr>
    </w:p>
    <w:p w14:paraId="31A108FE" w14:textId="320853EE" w:rsidR="00734315" w:rsidRPr="00EA7E98" w:rsidRDefault="00734315" w:rsidP="00A03DB7">
      <w:pPr>
        <w:pStyle w:val="Heading3"/>
      </w:pPr>
      <w:r w:rsidRPr="00EA7E98">
        <w:t>Physical Activity &amp; Exercise</w:t>
      </w:r>
    </w:p>
    <w:p w14:paraId="09E2C800" w14:textId="77777777" w:rsidR="00734315" w:rsidRPr="00EA7E98" w:rsidRDefault="00734315" w:rsidP="00734315">
      <w:pPr>
        <w:pStyle w:val="NoSpacing"/>
        <w:tabs>
          <w:tab w:val="left" w:pos="720"/>
        </w:tabs>
        <w:ind w:left="720" w:hanging="720"/>
        <w:rPr>
          <w:rFonts w:ascii="Garamond" w:hAnsi="Garamond"/>
          <w:b/>
        </w:rPr>
      </w:pPr>
    </w:p>
    <w:p w14:paraId="5C1F65AA" w14:textId="77777777" w:rsidR="00734315" w:rsidRPr="00EA7E98" w:rsidRDefault="00734315" w:rsidP="00734315">
      <w:pPr>
        <w:pStyle w:val="NoSpacing"/>
        <w:tabs>
          <w:tab w:val="left" w:pos="720"/>
        </w:tabs>
        <w:ind w:left="720" w:hanging="720"/>
        <w:rPr>
          <w:rFonts w:ascii="Garamond" w:hAnsi="Garamond"/>
        </w:rPr>
      </w:pPr>
      <w:r w:rsidRPr="003C7151">
        <w:rPr>
          <w:rFonts w:ascii="Garamond" w:hAnsi="Garamond"/>
        </w:rPr>
        <w:t xml:space="preserve">Anderson, L. M., et al. (2009). The Effectiveness of Worksite Nutrition and Physical Activity Interventions for Controlling Employee Overweight and Obesity: A Systematic Review. </w:t>
      </w:r>
      <w:r w:rsidRPr="003C7151">
        <w:rPr>
          <w:rFonts w:ascii="Garamond" w:hAnsi="Garamond"/>
          <w:i/>
        </w:rPr>
        <w:t>American Journal of Preventive Medicine</w:t>
      </w:r>
      <w:r w:rsidRPr="003C7151">
        <w:rPr>
          <w:rFonts w:ascii="Garamond" w:hAnsi="Garamond"/>
        </w:rPr>
        <w:t xml:space="preserve">, 37(4), 340-357. DOI: </w:t>
      </w:r>
      <w:hyperlink r:id="rId53" w:history="1">
        <w:r w:rsidRPr="003C7151">
          <w:rPr>
            <w:rStyle w:val="Hyperlink"/>
            <w:rFonts w:ascii="Garamond" w:hAnsi="Garamond"/>
          </w:rPr>
          <w:t>http://dx.doi.org/10.1016/j.amepre.2009.07.003</w:t>
        </w:r>
      </w:hyperlink>
      <w:r w:rsidRPr="003C7151">
        <w:rPr>
          <w:rFonts w:ascii="Garamond" w:hAnsi="Garamond"/>
        </w:rPr>
        <w:t xml:space="preserve">. (This report </w:t>
      </w:r>
      <w:r w:rsidRPr="003C7151">
        <w:rPr>
          <w:rFonts w:ascii="Garamond" w:hAnsi="Garamond"/>
        </w:rPr>
        <w:lastRenderedPageBreak/>
        <w:t>presents the results of a systematic review of the effectiveness of worksite nutrition and physical activity programs to promote healthy weight among employees.)</w:t>
      </w:r>
    </w:p>
    <w:p w14:paraId="3B8C1768" w14:textId="77777777" w:rsidR="00734315" w:rsidRPr="00EA7E98" w:rsidRDefault="00734315" w:rsidP="00734315">
      <w:pPr>
        <w:pStyle w:val="NoSpacing"/>
        <w:tabs>
          <w:tab w:val="left" w:pos="720"/>
        </w:tabs>
        <w:ind w:left="720" w:hanging="720"/>
        <w:rPr>
          <w:rFonts w:ascii="Garamond" w:hAnsi="Garamond"/>
        </w:rPr>
      </w:pPr>
    </w:p>
    <w:p w14:paraId="086AB2CC" w14:textId="77777777" w:rsidR="00734315" w:rsidRPr="00892AF6" w:rsidRDefault="00734315" w:rsidP="00734315">
      <w:pPr>
        <w:tabs>
          <w:tab w:val="left" w:pos="720"/>
        </w:tabs>
        <w:ind w:left="720" w:hanging="720"/>
        <w:rPr>
          <w:rFonts w:ascii="Garamond" w:hAnsi="Garamond"/>
          <w:color w:val="000000" w:themeColor="text1"/>
          <w:sz w:val="22"/>
          <w:szCs w:val="22"/>
        </w:rPr>
      </w:pPr>
      <w:r w:rsidRPr="00892AF6">
        <w:rPr>
          <w:rFonts w:ascii="Garamond" w:hAnsi="Garamond"/>
          <w:color w:val="000000" w:themeColor="text1"/>
          <w:sz w:val="22"/>
          <w:szCs w:val="22"/>
        </w:rPr>
        <w:t xml:space="preserve">Engelen, L., et al. (2017). Is Active Design changing the workplace? – A natural pre-post experiment looking at health behaviour and workplace perceptions. </w:t>
      </w:r>
      <w:r w:rsidRPr="00892AF6">
        <w:rPr>
          <w:rFonts w:ascii="Garamond" w:hAnsi="Garamond"/>
          <w:i/>
          <w:color w:val="000000" w:themeColor="text1"/>
          <w:sz w:val="22"/>
          <w:szCs w:val="22"/>
        </w:rPr>
        <w:t>Work</w:t>
      </w:r>
      <w:r w:rsidRPr="00892AF6">
        <w:rPr>
          <w:rFonts w:ascii="Garamond" w:hAnsi="Garamond"/>
          <w:color w:val="000000" w:themeColor="text1"/>
          <w:sz w:val="22"/>
          <w:szCs w:val="22"/>
        </w:rPr>
        <w:t xml:space="preserve">, 56(2), 229-237. DOI: </w:t>
      </w:r>
      <w:hyperlink r:id="rId54" w:history="1">
        <w:r w:rsidRPr="00892AF6">
          <w:rPr>
            <w:rStyle w:val="Hyperlink"/>
            <w:rFonts w:ascii="Garamond" w:hAnsi="Garamond"/>
            <w:sz w:val="22"/>
            <w:szCs w:val="22"/>
          </w:rPr>
          <w:t>10.3233/WOR-172483</w:t>
        </w:r>
      </w:hyperlink>
      <w:r w:rsidRPr="00892AF6">
        <w:rPr>
          <w:rFonts w:ascii="Garamond" w:hAnsi="Garamond"/>
          <w:color w:val="000000" w:themeColor="text1"/>
          <w:sz w:val="22"/>
          <w:szCs w:val="22"/>
        </w:rPr>
        <w:t>. (The purpose of this research is to investigate Active Design influence on workplace physical activity, sedentary behaviour, musculoskeletal complaints, and perceptions of the workplace and productivity.)</w:t>
      </w:r>
    </w:p>
    <w:p w14:paraId="0059F090" w14:textId="77777777" w:rsidR="00734315" w:rsidRPr="00EA7E98" w:rsidRDefault="00734315" w:rsidP="00734315">
      <w:pPr>
        <w:tabs>
          <w:tab w:val="left" w:pos="720"/>
        </w:tabs>
        <w:ind w:left="720" w:hanging="720"/>
        <w:rPr>
          <w:rFonts w:ascii="Garamond" w:hAnsi="Garamond"/>
          <w:color w:val="000000" w:themeColor="text1"/>
        </w:rPr>
      </w:pPr>
    </w:p>
    <w:p w14:paraId="156E7D7C" w14:textId="77777777" w:rsidR="00734315" w:rsidRDefault="00734315" w:rsidP="00734315">
      <w:pPr>
        <w:pStyle w:val="NoSpacing"/>
        <w:tabs>
          <w:tab w:val="left" w:pos="720"/>
        </w:tabs>
        <w:ind w:left="720" w:hanging="720"/>
        <w:rPr>
          <w:rFonts w:ascii="Garamond" w:hAnsi="Garamond"/>
        </w:rPr>
      </w:pPr>
      <w:r w:rsidRPr="00EA7E98">
        <w:rPr>
          <w:rFonts w:ascii="Garamond" w:hAnsi="Garamond"/>
        </w:rPr>
        <w:t xml:space="preserve">General Services Administration. (2017). </w:t>
      </w:r>
      <w:r w:rsidRPr="00A35A65">
        <w:rPr>
          <w:rFonts w:ascii="Garamond" w:hAnsi="Garamond"/>
          <w:i/>
        </w:rPr>
        <w:t>Consider the Stairs</w:t>
      </w:r>
      <w:r w:rsidRPr="00EA7E98">
        <w:rPr>
          <w:rFonts w:ascii="Garamond" w:hAnsi="Garamond"/>
        </w:rPr>
        <w:t xml:space="preserve">. Retrieved from </w:t>
      </w:r>
      <w:hyperlink r:id="rId55" w:history="1">
        <w:r w:rsidRPr="00EA7E98">
          <w:rPr>
            <w:rStyle w:val="Hyperlink"/>
            <w:rFonts w:ascii="Garamond" w:hAnsi="Garamond"/>
          </w:rPr>
          <w:t>https://www.gsa.gov/real-estate/facilities-management/tenant-services/health-and-wellness/consider-the-stairs</w:t>
        </w:r>
      </w:hyperlink>
      <w:r w:rsidRPr="00EA7E98">
        <w:rPr>
          <w:rFonts w:ascii="Garamond" w:hAnsi="Garamond"/>
        </w:rPr>
        <w:t>. (GSA was directed to promote the use of stairs in all federal buildings in Public Law 109-115, Section 607 of GSA’s Appropriations Act for FY 2006.)</w:t>
      </w:r>
    </w:p>
    <w:p w14:paraId="4AD0C83A" w14:textId="77777777" w:rsidR="00734315" w:rsidRDefault="00734315" w:rsidP="00734315">
      <w:pPr>
        <w:pStyle w:val="NoSpacing"/>
        <w:tabs>
          <w:tab w:val="left" w:pos="720"/>
        </w:tabs>
        <w:ind w:left="720" w:hanging="720"/>
        <w:rPr>
          <w:rFonts w:ascii="Garamond" w:hAnsi="Garamond"/>
        </w:rPr>
      </w:pPr>
    </w:p>
    <w:p w14:paraId="469E3A89" w14:textId="77777777" w:rsidR="00734315" w:rsidRPr="00C739AA" w:rsidRDefault="00734315" w:rsidP="00734315">
      <w:pPr>
        <w:pStyle w:val="NoSpacing"/>
        <w:tabs>
          <w:tab w:val="left" w:pos="720"/>
        </w:tabs>
        <w:ind w:left="720" w:hanging="720"/>
        <w:rPr>
          <w:rFonts w:ascii="Garamond" w:hAnsi="Garamond"/>
        </w:rPr>
      </w:pPr>
      <w:r w:rsidRPr="00C739AA">
        <w:rPr>
          <w:rFonts w:ascii="Garamond" w:hAnsi="Garamond"/>
        </w:rPr>
        <w:t xml:space="preserve">Leinberger, C. B., &amp; Rodriguez, M. (2016). Foot Traffic Ahead: 2016. </w:t>
      </w:r>
      <w:r w:rsidRPr="00C739AA">
        <w:rPr>
          <w:rFonts w:ascii="Garamond" w:hAnsi="Garamond"/>
          <w:i/>
        </w:rPr>
        <w:t>Smart Growth America</w:t>
      </w:r>
      <w:r w:rsidRPr="00C739AA">
        <w:rPr>
          <w:rFonts w:ascii="Garamond" w:hAnsi="Garamond"/>
        </w:rPr>
        <w:t xml:space="preserve">. Retrieved from </w:t>
      </w:r>
      <w:hyperlink r:id="rId56" w:history="1">
        <w:r w:rsidRPr="00C739AA">
          <w:rPr>
            <w:rStyle w:val="Hyperlink"/>
            <w:rFonts w:ascii="Garamond" w:hAnsi="Garamond"/>
          </w:rPr>
          <w:t>https://smartgrowthamerica.org/resources/foot-traffic-ahead-2016/</w:t>
        </w:r>
      </w:hyperlink>
      <w:r w:rsidRPr="00C739AA">
        <w:rPr>
          <w:rFonts w:ascii="Garamond" w:hAnsi="Garamond"/>
        </w:rPr>
        <w:t>. (</w:t>
      </w:r>
      <w:r w:rsidRPr="00C739AA">
        <w:rPr>
          <w:rFonts w:ascii="Garamond" w:hAnsi="Garamond"/>
          <w:i/>
        </w:rPr>
        <w:t>Foot Traffic Ahead: 2016</w:t>
      </w:r>
      <w:r w:rsidRPr="00C739AA">
        <w:rPr>
          <w:rFonts w:ascii="Garamond" w:hAnsi="Garamond"/>
        </w:rPr>
        <w:t xml:space="preserve"> shows that metros with the highest levels of walkable urbanism are also the most educated and wealthy (as measured by GDP per capita)— and, surprisingly, the most socially equitable.)</w:t>
      </w:r>
    </w:p>
    <w:p w14:paraId="3F38612D" w14:textId="77777777" w:rsidR="00734315" w:rsidRPr="00EA7E98" w:rsidRDefault="00734315" w:rsidP="00734315">
      <w:pPr>
        <w:pStyle w:val="NoSpacing"/>
        <w:tabs>
          <w:tab w:val="left" w:pos="720"/>
        </w:tabs>
        <w:rPr>
          <w:rFonts w:ascii="Garamond" w:hAnsi="Garamond"/>
        </w:rPr>
      </w:pPr>
    </w:p>
    <w:p w14:paraId="70F4D928" w14:textId="77777777" w:rsidR="00734315" w:rsidRPr="003528A1" w:rsidRDefault="00734315" w:rsidP="00734315">
      <w:pPr>
        <w:ind w:left="720" w:hanging="720"/>
        <w:rPr>
          <w:rFonts w:ascii="Garamond" w:hAnsi="Garamond"/>
          <w:sz w:val="22"/>
          <w:szCs w:val="22"/>
        </w:rPr>
      </w:pPr>
      <w:r w:rsidRPr="003528A1">
        <w:rPr>
          <w:rFonts w:ascii="Garamond" w:hAnsi="Garamond"/>
          <w:color w:val="000000" w:themeColor="text1"/>
          <w:sz w:val="22"/>
          <w:szCs w:val="22"/>
        </w:rPr>
        <w:t xml:space="preserve">Pereira, M. J., et al. (2015). The Impact of Onsite Workplace Health-enhancing Physical Activity Interventions on Worker Productivity: A Systematic Review. </w:t>
      </w:r>
      <w:r w:rsidRPr="003528A1">
        <w:rPr>
          <w:rFonts w:ascii="Garamond" w:hAnsi="Garamond"/>
          <w:i/>
          <w:color w:val="000000" w:themeColor="text1"/>
          <w:sz w:val="22"/>
          <w:szCs w:val="22"/>
        </w:rPr>
        <w:t>Occupational Environmental Medicine</w:t>
      </w:r>
      <w:r w:rsidRPr="003528A1">
        <w:rPr>
          <w:rFonts w:ascii="Garamond" w:hAnsi="Garamond"/>
          <w:color w:val="000000" w:themeColor="text1"/>
          <w:sz w:val="22"/>
          <w:szCs w:val="22"/>
        </w:rPr>
        <w:t xml:space="preserve">, 72(6), 401-412. DOI: </w:t>
      </w:r>
      <w:hyperlink r:id="rId57" w:history="1">
        <w:r w:rsidRPr="003528A1">
          <w:rPr>
            <w:rStyle w:val="Hyperlink"/>
            <w:rFonts w:ascii="Garamond" w:hAnsi="Garamond"/>
            <w:sz w:val="22"/>
            <w:szCs w:val="22"/>
          </w:rPr>
          <w:t>10.1136/oemed-2014-102678</w:t>
        </w:r>
      </w:hyperlink>
      <w:r w:rsidRPr="003528A1">
        <w:rPr>
          <w:rFonts w:ascii="Garamond" w:hAnsi="Garamond" w:cs="Arial"/>
          <w:sz w:val="22"/>
          <w:szCs w:val="22"/>
          <w:shd w:val="clear" w:color="auto" w:fill="FFFFFF"/>
        </w:rPr>
        <w:t>. (</w:t>
      </w:r>
      <w:r w:rsidRPr="003528A1">
        <w:rPr>
          <w:rFonts w:ascii="Garamond" w:hAnsi="Garamond"/>
          <w:sz w:val="22"/>
          <w:szCs w:val="22"/>
        </w:rPr>
        <w:t>The aim of this study is to investigate the effects of onsite workplace health-enhancing physical activity (HEPA) programmes on worker productivity.)</w:t>
      </w:r>
    </w:p>
    <w:p w14:paraId="7C3BBD40" w14:textId="77777777" w:rsidR="00734315" w:rsidRPr="00EA7E98" w:rsidRDefault="00734315" w:rsidP="00734315">
      <w:pPr>
        <w:rPr>
          <w:rFonts w:ascii="Garamond" w:hAnsi="Garamond"/>
          <w:color w:val="000000" w:themeColor="text1"/>
        </w:rPr>
      </w:pPr>
    </w:p>
    <w:p w14:paraId="1AD84BD8" w14:textId="77777777" w:rsidR="00734315" w:rsidRDefault="00734315" w:rsidP="00734315">
      <w:pPr>
        <w:pStyle w:val="NoSpacing"/>
        <w:tabs>
          <w:tab w:val="left" w:pos="720"/>
        </w:tabs>
        <w:ind w:left="720" w:hanging="720"/>
        <w:rPr>
          <w:rFonts w:ascii="Garamond" w:hAnsi="Garamond"/>
        </w:rPr>
      </w:pPr>
      <w:r w:rsidRPr="00FA0A2B">
        <w:rPr>
          <w:rFonts w:ascii="Garamond" w:hAnsi="Garamond"/>
        </w:rPr>
        <w:t>U.S. Department of Health and Human Services.</w:t>
      </w:r>
      <w:r>
        <w:rPr>
          <w:rFonts w:ascii="Garamond" w:hAnsi="Garamond"/>
        </w:rPr>
        <w:t xml:space="preserve"> (2015)</w:t>
      </w:r>
      <w:r w:rsidRPr="00FA0A2B">
        <w:rPr>
          <w:rFonts w:ascii="Garamond" w:hAnsi="Garamond"/>
        </w:rPr>
        <w:t xml:space="preserve"> </w:t>
      </w:r>
      <w:r w:rsidRPr="00FA0A2B">
        <w:rPr>
          <w:rFonts w:ascii="Garamond" w:hAnsi="Garamond"/>
          <w:i/>
        </w:rPr>
        <w:t>Step It Up! The Surgeon General’s Call to Action to Promote Walking and Walkable Communities</w:t>
      </w:r>
      <w:r>
        <w:rPr>
          <w:rFonts w:ascii="Garamond" w:hAnsi="Garamond"/>
        </w:rPr>
        <w:t xml:space="preserve">. Washington, D.C.: U.S. Department </w:t>
      </w:r>
      <w:r w:rsidRPr="00FA0A2B">
        <w:rPr>
          <w:rFonts w:ascii="Garamond" w:hAnsi="Garamond"/>
        </w:rPr>
        <w:t>of Health an</w:t>
      </w:r>
      <w:r>
        <w:rPr>
          <w:rFonts w:ascii="Garamond" w:hAnsi="Garamond"/>
        </w:rPr>
        <w:t xml:space="preserve">d Human Services, Office of the Surgeon General. Retrieved from </w:t>
      </w:r>
      <w:hyperlink r:id="rId58" w:history="1">
        <w:r w:rsidRPr="006B5CB9">
          <w:rPr>
            <w:rStyle w:val="Hyperlink"/>
            <w:rFonts w:ascii="Garamond" w:hAnsi="Garamond"/>
          </w:rPr>
          <w:t>https://www.surgeongeneral.gov/library/calls/walking-and-walkable-communities/call-to-action-walking-and-walkable-communites.pdf</w:t>
        </w:r>
      </w:hyperlink>
      <w:r>
        <w:rPr>
          <w:rFonts w:ascii="Garamond" w:hAnsi="Garamond"/>
        </w:rPr>
        <w:t xml:space="preserve">. (This publication </w:t>
      </w:r>
      <w:r w:rsidRPr="00FA0A2B">
        <w:rPr>
          <w:rFonts w:ascii="Garamond" w:hAnsi="Garamond"/>
        </w:rPr>
        <w:t>is intended</w:t>
      </w:r>
      <w:r>
        <w:rPr>
          <w:rFonts w:ascii="Garamond" w:hAnsi="Garamond"/>
        </w:rPr>
        <w:t xml:space="preserve"> to increase walking across the U.S.</w:t>
      </w:r>
      <w:r w:rsidRPr="00FA0A2B">
        <w:rPr>
          <w:rFonts w:ascii="Garamond" w:hAnsi="Garamond"/>
        </w:rPr>
        <w:t xml:space="preserve"> by calling for improved access to safe and convenient places to wa</w:t>
      </w:r>
      <w:r>
        <w:rPr>
          <w:rFonts w:ascii="Garamond" w:hAnsi="Garamond"/>
        </w:rPr>
        <w:t xml:space="preserve">lk and wheelchair roll, as well </w:t>
      </w:r>
      <w:r w:rsidRPr="00FA0A2B">
        <w:rPr>
          <w:rFonts w:ascii="Garamond" w:hAnsi="Garamond"/>
        </w:rPr>
        <w:t>as for a culture that supports these activities for people of all ages and abilities.</w:t>
      </w:r>
      <w:r>
        <w:rPr>
          <w:rFonts w:ascii="Garamond" w:hAnsi="Garamond"/>
        </w:rPr>
        <w:t>)</w:t>
      </w:r>
    </w:p>
    <w:p w14:paraId="76E2603A" w14:textId="77777777" w:rsidR="00734315" w:rsidRPr="00EA7E98" w:rsidRDefault="00734315" w:rsidP="00734315">
      <w:pPr>
        <w:pStyle w:val="NoSpacing"/>
        <w:tabs>
          <w:tab w:val="left" w:pos="720"/>
        </w:tabs>
        <w:rPr>
          <w:rFonts w:ascii="Garamond" w:hAnsi="Garamond"/>
          <w:b/>
        </w:rPr>
      </w:pPr>
    </w:p>
    <w:p w14:paraId="65928B34" w14:textId="77777777" w:rsidR="00734315" w:rsidRDefault="00734315" w:rsidP="00734315">
      <w:pPr>
        <w:pStyle w:val="NoSpacing"/>
        <w:tabs>
          <w:tab w:val="left" w:pos="720"/>
        </w:tabs>
        <w:ind w:left="720" w:hanging="720"/>
        <w:rPr>
          <w:rFonts w:ascii="Garamond" w:hAnsi="Garamond"/>
          <w:b/>
        </w:rPr>
      </w:pPr>
    </w:p>
    <w:p w14:paraId="41F32694" w14:textId="77777777" w:rsidR="00734315" w:rsidRPr="00EA7E98" w:rsidRDefault="00734315" w:rsidP="00A03DB7">
      <w:pPr>
        <w:pStyle w:val="Heading3"/>
      </w:pPr>
      <w:r w:rsidRPr="00EA7E98">
        <w:t>Lactation Space</w:t>
      </w:r>
    </w:p>
    <w:p w14:paraId="281BC9B1" w14:textId="77777777" w:rsidR="00734315" w:rsidRPr="00EA7E98" w:rsidRDefault="00734315" w:rsidP="00734315">
      <w:pPr>
        <w:pStyle w:val="NoSpacing"/>
        <w:tabs>
          <w:tab w:val="left" w:pos="720"/>
        </w:tabs>
        <w:ind w:left="720" w:hanging="720"/>
        <w:rPr>
          <w:rFonts w:ascii="Garamond" w:hAnsi="Garamond"/>
          <w:b/>
        </w:rPr>
      </w:pPr>
    </w:p>
    <w:p w14:paraId="4D15618B" w14:textId="77777777" w:rsidR="00734315" w:rsidRPr="00EA7E98" w:rsidRDefault="00734315" w:rsidP="00734315">
      <w:pPr>
        <w:pStyle w:val="NoSpacing"/>
        <w:tabs>
          <w:tab w:val="left" w:pos="720"/>
        </w:tabs>
        <w:ind w:left="720" w:hanging="720"/>
        <w:rPr>
          <w:rFonts w:ascii="Garamond" w:hAnsi="Garamond"/>
        </w:rPr>
      </w:pPr>
      <w:r w:rsidRPr="00EA7E98">
        <w:rPr>
          <w:rFonts w:ascii="Garamond" w:hAnsi="Garamond"/>
        </w:rPr>
        <w:t xml:space="preserve">General Services Administration. (2017). </w:t>
      </w:r>
      <w:r w:rsidRPr="00A35A65">
        <w:rPr>
          <w:rFonts w:ascii="Garamond" w:hAnsi="Garamond"/>
          <w:i/>
        </w:rPr>
        <w:t>Lactation Space Support</w:t>
      </w:r>
      <w:r w:rsidRPr="00EA7E98">
        <w:rPr>
          <w:rFonts w:ascii="Garamond" w:hAnsi="Garamond"/>
        </w:rPr>
        <w:t xml:space="preserve">. Retrieved from </w:t>
      </w:r>
      <w:hyperlink r:id="rId59" w:history="1">
        <w:r w:rsidRPr="00EA7E98">
          <w:rPr>
            <w:rStyle w:val="Hyperlink"/>
            <w:rFonts w:ascii="Garamond" w:hAnsi="Garamond"/>
          </w:rPr>
          <w:t>https://www.gsa.gov/real-estate/facilities-management/tenant-services/health-and-wellness/lactation-space-support</w:t>
        </w:r>
      </w:hyperlink>
      <w:r w:rsidRPr="00EA7E98">
        <w:rPr>
          <w:rFonts w:ascii="Garamond" w:hAnsi="Garamond"/>
        </w:rPr>
        <w:t>. (The 2010 Patient Protection and Affordable Care Act (PPACA) amended Section 7 of the Fair Labor Standards Act of 1938 (FLSA), requiring an employer to provide employees with a reasonable break time to express breast milk for her nursing child and a place, other than a bathroom, that is shielded from view and free from intrusion from coworkers and the public.)</w:t>
      </w:r>
    </w:p>
    <w:p w14:paraId="484BEDF5" w14:textId="77777777" w:rsidR="00734315" w:rsidRPr="00EA7E98" w:rsidRDefault="00734315" w:rsidP="00734315">
      <w:pPr>
        <w:pStyle w:val="NoSpacing"/>
        <w:tabs>
          <w:tab w:val="left" w:pos="720"/>
        </w:tabs>
        <w:ind w:left="720" w:hanging="720"/>
        <w:rPr>
          <w:rFonts w:ascii="Garamond" w:hAnsi="Garamond"/>
        </w:rPr>
      </w:pPr>
    </w:p>
    <w:p w14:paraId="23F4AF64" w14:textId="77777777" w:rsidR="00734315" w:rsidRPr="00A93D14" w:rsidRDefault="00734315" w:rsidP="00734315">
      <w:pPr>
        <w:pStyle w:val="NoSpacing"/>
        <w:tabs>
          <w:tab w:val="left" w:pos="720"/>
        </w:tabs>
        <w:ind w:left="720" w:hanging="720"/>
        <w:rPr>
          <w:rFonts w:ascii="Garamond" w:hAnsi="Garamond"/>
          <w:b/>
        </w:rPr>
      </w:pPr>
    </w:p>
    <w:p w14:paraId="7CF94B91" w14:textId="77777777" w:rsidR="00734315" w:rsidRPr="00A93D14" w:rsidRDefault="00734315" w:rsidP="00A03DB7">
      <w:pPr>
        <w:pStyle w:val="Heading3"/>
      </w:pPr>
      <w:r w:rsidRPr="00A93D14">
        <w:t>Hospital Built Environment</w:t>
      </w:r>
    </w:p>
    <w:p w14:paraId="02D4FB61" w14:textId="77777777" w:rsidR="00734315" w:rsidRDefault="00734315" w:rsidP="00734315">
      <w:pPr>
        <w:pStyle w:val="NoSpacing"/>
        <w:tabs>
          <w:tab w:val="left" w:pos="720"/>
        </w:tabs>
        <w:ind w:left="720" w:hanging="720"/>
        <w:rPr>
          <w:rFonts w:ascii="Garamond" w:hAnsi="Garamond"/>
        </w:rPr>
      </w:pPr>
    </w:p>
    <w:p w14:paraId="3FBC7BE6" w14:textId="77777777" w:rsidR="00734315" w:rsidRDefault="00734315" w:rsidP="00734315">
      <w:pPr>
        <w:pStyle w:val="NoSpacing"/>
        <w:tabs>
          <w:tab w:val="left" w:pos="720"/>
        </w:tabs>
        <w:ind w:left="720" w:hanging="720"/>
        <w:rPr>
          <w:rFonts w:ascii="Garamond" w:hAnsi="Garamond"/>
        </w:rPr>
      </w:pPr>
      <w:r w:rsidRPr="00A93D14">
        <w:rPr>
          <w:rFonts w:ascii="Garamond" w:hAnsi="Garamond"/>
        </w:rPr>
        <w:t>Nelson C</w:t>
      </w:r>
      <w:r>
        <w:rPr>
          <w:rFonts w:ascii="Garamond" w:hAnsi="Garamond"/>
        </w:rPr>
        <w:t>.</w:t>
      </w:r>
      <w:r w:rsidRPr="00A93D14">
        <w:rPr>
          <w:rFonts w:ascii="Garamond" w:hAnsi="Garamond"/>
        </w:rPr>
        <w:t>,</w:t>
      </w:r>
      <w:r>
        <w:rPr>
          <w:rFonts w:ascii="Garamond" w:hAnsi="Garamond"/>
        </w:rPr>
        <w:t xml:space="preserve"> et al.</w:t>
      </w:r>
      <w:r w:rsidRPr="00A93D14">
        <w:rPr>
          <w:rFonts w:ascii="Garamond" w:hAnsi="Garamond"/>
        </w:rPr>
        <w:t xml:space="preserve"> </w:t>
      </w:r>
      <w:r>
        <w:rPr>
          <w:rFonts w:ascii="Garamond" w:hAnsi="Garamond"/>
        </w:rPr>
        <w:t xml:space="preserve">(2005). </w:t>
      </w:r>
      <w:r w:rsidRPr="001D43C8">
        <w:rPr>
          <w:rFonts w:ascii="Garamond" w:hAnsi="Garamond"/>
          <w:i/>
        </w:rPr>
        <w:t xml:space="preserve">The Hospital Built Environment: What Role Might Funders of Health Services Research Play? </w:t>
      </w:r>
      <w:r w:rsidRPr="00D60BEB">
        <w:rPr>
          <w:rFonts w:ascii="Garamond" w:hAnsi="Garamond"/>
        </w:rPr>
        <w:t xml:space="preserve">Prepared by The Lewin Group, Inc. </w:t>
      </w:r>
      <w:r w:rsidRPr="00A93D14">
        <w:rPr>
          <w:rFonts w:ascii="Garamond" w:hAnsi="Garamond"/>
        </w:rPr>
        <w:t xml:space="preserve">Rockville, MD: </w:t>
      </w:r>
      <w:r>
        <w:rPr>
          <w:rFonts w:ascii="Garamond" w:hAnsi="Garamond"/>
        </w:rPr>
        <w:t xml:space="preserve">U.S. </w:t>
      </w:r>
      <w:r w:rsidRPr="00D60BEB">
        <w:rPr>
          <w:rFonts w:ascii="Garamond" w:hAnsi="Garamond"/>
        </w:rPr>
        <w:t>Department of Health and Human Services,</w:t>
      </w:r>
      <w:r>
        <w:rPr>
          <w:rFonts w:ascii="Garamond" w:hAnsi="Garamond"/>
        </w:rPr>
        <w:t xml:space="preserve"> </w:t>
      </w:r>
      <w:r w:rsidRPr="00A93D14">
        <w:rPr>
          <w:rFonts w:ascii="Garamond" w:hAnsi="Garamond"/>
        </w:rPr>
        <w:t>Agency</w:t>
      </w:r>
      <w:r>
        <w:rPr>
          <w:rFonts w:ascii="Garamond" w:hAnsi="Garamond"/>
        </w:rPr>
        <w:t xml:space="preserve"> for Healthcare Research </w:t>
      </w:r>
      <w:r w:rsidRPr="00A93D14">
        <w:rPr>
          <w:rFonts w:ascii="Garamond" w:hAnsi="Garamond"/>
        </w:rPr>
        <w:t xml:space="preserve">and </w:t>
      </w:r>
      <w:r w:rsidRPr="00021BA3">
        <w:rPr>
          <w:rFonts w:ascii="Garamond" w:hAnsi="Garamond"/>
        </w:rPr>
        <w:t>Quality. AHRQ Publication No. 05-0106-EF.</w:t>
      </w:r>
      <w:r>
        <w:rPr>
          <w:rFonts w:ascii="Garamond" w:hAnsi="Garamond"/>
        </w:rPr>
        <w:t xml:space="preserve"> Retrieved from </w:t>
      </w:r>
      <w:hyperlink r:id="rId60" w:history="1">
        <w:r w:rsidRPr="006B5CB9">
          <w:rPr>
            <w:rStyle w:val="Hyperlink"/>
            <w:rFonts w:ascii="Garamond" w:hAnsi="Garamond"/>
          </w:rPr>
          <w:t>https://archive.ahrq.gov/professionals/systems/hospital/hospbuilt/hospenv.pdf</w:t>
        </w:r>
      </w:hyperlink>
      <w:r>
        <w:rPr>
          <w:rFonts w:ascii="Garamond" w:hAnsi="Garamond"/>
        </w:rPr>
        <w:t>. (</w:t>
      </w:r>
      <w:r w:rsidRPr="00B077F2">
        <w:rPr>
          <w:rFonts w:ascii="Garamond" w:hAnsi="Garamond"/>
        </w:rPr>
        <w:t>This environmental scan is</w:t>
      </w:r>
      <w:r>
        <w:rPr>
          <w:rFonts w:ascii="Garamond" w:hAnsi="Garamond"/>
        </w:rPr>
        <w:t xml:space="preserve"> intended to assess what is and </w:t>
      </w:r>
      <w:r w:rsidRPr="00B077F2">
        <w:rPr>
          <w:rFonts w:ascii="Garamond" w:hAnsi="Garamond"/>
        </w:rPr>
        <w:t>is not known about the relationships between hospital de</w:t>
      </w:r>
      <w:r>
        <w:rPr>
          <w:rFonts w:ascii="Garamond" w:hAnsi="Garamond"/>
        </w:rPr>
        <w:t xml:space="preserve">sign and construction—the built environment—and: 1. Patient outcomes, </w:t>
      </w:r>
      <w:r w:rsidRPr="00B077F2">
        <w:rPr>
          <w:rFonts w:ascii="Garamond" w:hAnsi="Garamond"/>
        </w:rPr>
        <w:t>2. P</w:t>
      </w:r>
      <w:r>
        <w:rPr>
          <w:rFonts w:ascii="Garamond" w:hAnsi="Garamond"/>
        </w:rPr>
        <w:t xml:space="preserve">atient safety and satisfaction, </w:t>
      </w:r>
      <w:r w:rsidRPr="00B077F2">
        <w:rPr>
          <w:rFonts w:ascii="Garamond" w:hAnsi="Garamond"/>
        </w:rPr>
        <w:t>3. Hospital staff safety and satisfaction.</w:t>
      </w:r>
      <w:r>
        <w:rPr>
          <w:rFonts w:ascii="Garamond" w:hAnsi="Garamond"/>
        </w:rPr>
        <w:t>)</w:t>
      </w:r>
    </w:p>
    <w:p w14:paraId="3CEA0139" w14:textId="77777777" w:rsidR="00734315" w:rsidRDefault="00734315" w:rsidP="00734315">
      <w:pPr>
        <w:pStyle w:val="NoSpacing"/>
        <w:tabs>
          <w:tab w:val="left" w:pos="720"/>
        </w:tabs>
        <w:ind w:left="720" w:hanging="720"/>
        <w:rPr>
          <w:rFonts w:ascii="Garamond" w:hAnsi="Garamond"/>
        </w:rPr>
      </w:pPr>
    </w:p>
    <w:p w14:paraId="783DA9F1" w14:textId="77777777" w:rsidR="00734315" w:rsidRDefault="00734315" w:rsidP="00734315">
      <w:pPr>
        <w:pStyle w:val="NoSpacing"/>
        <w:tabs>
          <w:tab w:val="left" w:pos="720"/>
        </w:tabs>
        <w:ind w:left="720" w:hanging="720"/>
        <w:rPr>
          <w:rFonts w:ascii="Garamond" w:hAnsi="Garamond"/>
        </w:rPr>
      </w:pPr>
      <w:r>
        <w:rPr>
          <w:rFonts w:ascii="Garamond" w:hAnsi="Garamond"/>
        </w:rPr>
        <w:t xml:space="preserve">Sadler, B. L., et al. (2011). Fable Hospital 2.0: The Business Case for Building Better Health </w:t>
      </w:r>
      <w:r w:rsidRPr="009F1C95">
        <w:rPr>
          <w:rFonts w:ascii="Garamond" w:hAnsi="Garamond"/>
        </w:rPr>
        <w:t>Care Facilities</w:t>
      </w:r>
      <w:r>
        <w:rPr>
          <w:rFonts w:ascii="Garamond" w:hAnsi="Garamond"/>
        </w:rPr>
        <w:t xml:space="preserve">. </w:t>
      </w:r>
      <w:r w:rsidRPr="009F1C95">
        <w:rPr>
          <w:rFonts w:ascii="Garamond" w:hAnsi="Garamond"/>
          <w:i/>
        </w:rPr>
        <w:t>Hastings Center Report</w:t>
      </w:r>
      <w:r>
        <w:rPr>
          <w:rFonts w:ascii="Garamond" w:hAnsi="Garamond"/>
        </w:rPr>
        <w:t xml:space="preserve">. 41(1), 12-23. Retrieved from </w:t>
      </w:r>
      <w:hyperlink r:id="rId61" w:history="1">
        <w:r w:rsidRPr="006B5CB9">
          <w:rPr>
            <w:rStyle w:val="Hyperlink"/>
            <w:rFonts w:ascii="Garamond" w:hAnsi="Garamond"/>
          </w:rPr>
          <w:t>http://www.thehastingscenter.org/wp-content/uploads/SadleretalFableHospitalBusinessCase_HastingsJan111.pdf</w:t>
        </w:r>
      </w:hyperlink>
      <w:r>
        <w:rPr>
          <w:rFonts w:ascii="Garamond" w:hAnsi="Garamond"/>
        </w:rPr>
        <w:t>. (</w:t>
      </w:r>
      <w:r w:rsidRPr="006252E4">
        <w:rPr>
          <w:rFonts w:ascii="Garamond" w:hAnsi="Garamond"/>
        </w:rPr>
        <w:t>The Center for Health Design’s Fable Hospital</w:t>
      </w:r>
      <w:r>
        <w:rPr>
          <w:rFonts w:ascii="Garamond" w:hAnsi="Garamond"/>
        </w:rPr>
        <w:t>, an imaginary facility,</w:t>
      </w:r>
      <w:r w:rsidRPr="006252E4">
        <w:rPr>
          <w:rFonts w:ascii="Garamond" w:hAnsi="Garamond"/>
        </w:rPr>
        <w:t xml:space="preserve"> has shown ROI on evidence-based design elements</w:t>
      </w:r>
      <w:r>
        <w:rPr>
          <w:rFonts w:ascii="Garamond" w:hAnsi="Garamond"/>
        </w:rPr>
        <w:t>.)</w:t>
      </w:r>
    </w:p>
    <w:p w14:paraId="70AD7244" w14:textId="77777777" w:rsidR="00734315" w:rsidRDefault="00734315" w:rsidP="00734315">
      <w:pPr>
        <w:pStyle w:val="NoSpacing"/>
        <w:tabs>
          <w:tab w:val="left" w:pos="720"/>
        </w:tabs>
        <w:ind w:left="720" w:hanging="720"/>
        <w:rPr>
          <w:rFonts w:ascii="Garamond" w:hAnsi="Garamond"/>
        </w:rPr>
      </w:pPr>
    </w:p>
    <w:p w14:paraId="49059450" w14:textId="77777777" w:rsidR="00734315" w:rsidRDefault="00734315" w:rsidP="00734315">
      <w:pPr>
        <w:pStyle w:val="NoSpacing"/>
        <w:tabs>
          <w:tab w:val="left" w:pos="720"/>
        </w:tabs>
        <w:ind w:left="720" w:hanging="720"/>
        <w:rPr>
          <w:rFonts w:ascii="Garamond" w:hAnsi="Garamond"/>
        </w:rPr>
      </w:pPr>
    </w:p>
    <w:p w14:paraId="76179368" w14:textId="77777777" w:rsidR="00734315" w:rsidRPr="00434CB7" w:rsidRDefault="00734315" w:rsidP="00A03DB7">
      <w:pPr>
        <w:pStyle w:val="Heading3"/>
      </w:pPr>
      <w:r w:rsidRPr="00434CB7">
        <w:t>Materials Selection</w:t>
      </w:r>
      <w:r>
        <w:t xml:space="preserve"> &amp; Toxic Chemicals</w:t>
      </w:r>
    </w:p>
    <w:p w14:paraId="017EEE87" w14:textId="77777777" w:rsidR="00734315" w:rsidRDefault="00734315" w:rsidP="00734315">
      <w:pPr>
        <w:pStyle w:val="NoSpacing"/>
        <w:tabs>
          <w:tab w:val="left" w:pos="720"/>
        </w:tabs>
        <w:ind w:left="720" w:hanging="720"/>
        <w:rPr>
          <w:rFonts w:ascii="Garamond" w:hAnsi="Garamond"/>
        </w:rPr>
      </w:pPr>
    </w:p>
    <w:p w14:paraId="7D915A2D" w14:textId="77777777" w:rsidR="00734315" w:rsidRDefault="00734315" w:rsidP="00734315">
      <w:pPr>
        <w:pStyle w:val="NoSpacing"/>
        <w:tabs>
          <w:tab w:val="left" w:pos="720"/>
        </w:tabs>
        <w:ind w:left="720" w:hanging="720"/>
        <w:rPr>
          <w:rFonts w:ascii="Garamond" w:hAnsi="Garamond"/>
        </w:rPr>
      </w:pPr>
      <w:r w:rsidRPr="002A5ACE">
        <w:rPr>
          <w:rFonts w:ascii="Garamond" w:hAnsi="Garamond"/>
          <w:i/>
        </w:rPr>
        <w:t xml:space="preserve">Endocrine Disrupting Chemicals in Drinking Water: Risks to Human Health and the </w:t>
      </w:r>
      <w:r>
        <w:rPr>
          <w:rFonts w:ascii="Garamond" w:hAnsi="Garamond"/>
          <w:i/>
        </w:rPr>
        <w:t>Environment Hearing before the Subcommittee on Energy and Environment, of the Committee on Energy and Commerce,</w:t>
      </w:r>
      <w:r>
        <w:rPr>
          <w:rFonts w:ascii="Garamond" w:hAnsi="Garamond"/>
        </w:rPr>
        <w:t xml:space="preserve"> House of Representatives, 111th Cong. 16. (2010). Testimony by Linda Birnbaum. Retrieved from </w:t>
      </w:r>
      <w:hyperlink r:id="rId62" w:history="1">
        <w:r w:rsidRPr="006B5CB9">
          <w:rPr>
            <w:rStyle w:val="Hyperlink"/>
            <w:rFonts w:ascii="Garamond" w:hAnsi="Garamond"/>
          </w:rPr>
          <w:t>https://www.gpo.gov/fdsys/pkg/CHRG-111hhrg76011/pdf/CHRG-111hhrg76011.pdf</w:t>
        </w:r>
      </w:hyperlink>
      <w:r>
        <w:rPr>
          <w:rFonts w:ascii="Garamond" w:hAnsi="Garamond"/>
        </w:rPr>
        <w:t>. (Dr. Linda Birnbaum presented her testimony on the current understanding and ongoing research on endocrine disrupting chemicals.)</w:t>
      </w:r>
    </w:p>
    <w:p w14:paraId="4C3D65D6" w14:textId="77777777" w:rsidR="00734315" w:rsidRDefault="00734315" w:rsidP="00734315">
      <w:pPr>
        <w:pStyle w:val="NoSpacing"/>
        <w:tabs>
          <w:tab w:val="left" w:pos="720"/>
        </w:tabs>
        <w:ind w:left="720" w:hanging="720"/>
        <w:rPr>
          <w:rFonts w:ascii="Garamond" w:hAnsi="Garamond"/>
        </w:rPr>
      </w:pPr>
    </w:p>
    <w:p w14:paraId="6A78A0ED" w14:textId="77777777" w:rsidR="00734315" w:rsidRDefault="00734315" w:rsidP="00734315">
      <w:pPr>
        <w:pStyle w:val="NoSpacing"/>
        <w:tabs>
          <w:tab w:val="left" w:pos="720"/>
        </w:tabs>
        <w:ind w:left="720" w:hanging="720"/>
        <w:rPr>
          <w:rFonts w:ascii="Garamond" w:hAnsi="Garamond"/>
        </w:rPr>
      </w:pPr>
      <w:r w:rsidRPr="00434CB7">
        <w:rPr>
          <w:rFonts w:ascii="Garamond" w:hAnsi="Garamond"/>
        </w:rPr>
        <w:t xml:space="preserve">Institute of Medicine. </w:t>
      </w:r>
      <w:r>
        <w:rPr>
          <w:rFonts w:ascii="Garamond" w:hAnsi="Garamond"/>
        </w:rPr>
        <w:t>(</w:t>
      </w:r>
      <w:r w:rsidRPr="00434CB7">
        <w:rPr>
          <w:rFonts w:ascii="Garamond" w:hAnsi="Garamond"/>
        </w:rPr>
        <w:t>2014</w:t>
      </w:r>
      <w:r>
        <w:rPr>
          <w:rFonts w:ascii="Garamond" w:hAnsi="Garamond"/>
        </w:rPr>
        <w:t>)</w:t>
      </w:r>
      <w:r w:rsidRPr="00434CB7">
        <w:rPr>
          <w:rFonts w:ascii="Garamond" w:hAnsi="Garamond"/>
        </w:rPr>
        <w:t xml:space="preserve">. </w:t>
      </w:r>
      <w:r w:rsidRPr="00434CB7">
        <w:rPr>
          <w:rFonts w:ascii="Garamond" w:hAnsi="Garamond"/>
          <w:i/>
        </w:rPr>
        <w:t>Identifying and Reducing Environmental Health Risks of Chemicals in Our Society: Workshop Summary</w:t>
      </w:r>
      <w:r w:rsidRPr="00434CB7">
        <w:rPr>
          <w:rFonts w:ascii="Garamond" w:hAnsi="Garamond"/>
        </w:rPr>
        <w:t>. Washington, D</w:t>
      </w:r>
      <w:r>
        <w:rPr>
          <w:rFonts w:ascii="Garamond" w:hAnsi="Garamond"/>
        </w:rPr>
        <w:t>.</w:t>
      </w:r>
      <w:r w:rsidRPr="00434CB7">
        <w:rPr>
          <w:rFonts w:ascii="Garamond" w:hAnsi="Garamond"/>
        </w:rPr>
        <w:t>C</w:t>
      </w:r>
      <w:r>
        <w:rPr>
          <w:rFonts w:ascii="Garamond" w:hAnsi="Garamond"/>
        </w:rPr>
        <w:t>.</w:t>
      </w:r>
      <w:r w:rsidRPr="00434CB7">
        <w:rPr>
          <w:rFonts w:ascii="Garamond" w:hAnsi="Garamond"/>
        </w:rPr>
        <w:t>: The National Academies Press.</w:t>
      </w:r>
      <w:r>
        <w:rPr>
          <w:rFonts w:ascii="Garamond" w:hAnsi="Garamond"/>
        </w:rPr>
        <w:t xml:space="preserve"> DOI: </w:t>
      </w:r>
      <w:hyperlink r:id="rId63" w:history="1">
        <w:r w:rsidRPr="006B5CB9">
          <w:rPr>
            <w:rStyle w:val="Hyperlink"/>
            <w:rFonts w:ascii="Garamond" w:hAnsi="Garamond"/>
          </w:rPr>
          <w:t>https://doi.org/10.17226/18710</w:t>
        </w:r>
      </w:hyperlink>
      <w:r w:rsidRPr="00434CB7">
        <w:rPr>
          <w:rFonts w:ascii="Garamond" w:hAnsi="Garamond"/>
        </w:rPr>
        <w:t>.</w:t>
      </w:r>
      <w:r>
        <w:rPr>
          <w:rFonts w:ascii="Garamond" w:hAnsi="Garamond"/>
        </w:rPr>
        <w:t xml:space="preserve"> (</w:t>
      </w:r>
      <w:r w:rsidRPr="00434CB7">
        <w:rPr>
          <w:rFonts w:ascii="Garamond" w:hAnsi="Garamond"/>
        </w:rPr>
        <w:t>On November 7-8, 2013, the Institute of Medicine's Roundtable on Environmental Health Sciences, Research, and Medicine held a workshop to discuss approaches related to identifying and reducing potential environmental public health risks to new and existing industria</w:t>
      </w:r>
      <w:r>
        <w:rPr>
          <w:rFonts w:ascii="Garamond" w:hAnsi="Garamond"/>
        </w:rPr>
        <w:t>l chemicals present in society.)</w:t>
      </w:r>
    </w:p>
    <w:p w14:paraId="30C28A4D" w14:textId="77777777" w:rsidR="00734315" w:rsidRDefault="00734315" w:rsidP="00734315">
      <w:pPr>
        <w:pStyle w:val="NoSpacing"/>
        <w:tabs>
          <w:tab w:val="left" w:pos="720"/>
        </w:tabs>
        <w:rPr>
          <w:rFonts w:ascii="Garamond" w:hAnsi="Garamond"/>
        </w:rPr>
      </w:pPr>
    </w:p>
    <w:p w14:paraId="695CE2BE" w14:textId="07D13502" w:rsidR="00734315" w:rsidRDefault="00734315" w:rsidP="00A35A65">
      <w:pPr>
        <w:pStyle w:val="NoSpacing"/>
        <w:tabs>
          <w:tab w:val="left" w:pos="720"/>
        </w:tabs>
        <w:ind w:left="720" w:hanging="720"/>
        <w:rPr>
          <w:rFonts w:ascii="Garamond" w:hAnsi="Garamond"/>
          <w:b/>
        </w:rPr>
      </w:pPr>
      <w:r w:rsidRPr="00345E52">
        <w:rPr>
          <w:rFonts w:ascii="Garamond" w:hAnsi="Garamond"/>
        </w:rPr>
        <w:t>Healthy Building Network</w:t>
      </w:r>
      <w:r>
        <w:rPr>
          <w:rFonts w:ascii="Garamond" w:hAnsi="Garamond"/>
        </w:rPr>
        <w:t>.</w:t>
      </w:r>
      <w:r w:rsidRPr="00345E52">
        <w:rPr>
          <w:rFonts w:ascii="Garamond" w:hAnsi="Garamond"/>
        </w:rPr>
        <w:t xml:space="preserve"> </w:t>
      </w:r>
      <w:r>
        <w:rPr>
          <w:rFonts w:ascii="Garamond" w:hAnsi="Garamond"/>
        </w:rPr>
        <w:t xml:space="preserve">(2008). </w:t>
      </w:r>
      <w:r w:rsidRPr="00345E52">
        <w:rPr>
          <w:rFonts w:ascii="Garamond" w:hAnsi="Garamond"/>
          <w:i/>
        </w:rPr>
        <w:t>Fact Sheet: Toxic Chemicals in Building Materials</w:t>
      </w:r>
      <w:r>
        <w:rPr>
          <w:rFonts w:ascii="Garamond" w:hAnsi="Garamond"/>
        </w:rPr>
        <w:t xml:space="preserve">. Retrieved from </w:t>
      </w:r>
      <w:hyperlink r:id="rId64" w:history="1">
        <w:r w:rsidRPr="006B5CB9">
          <w:rPr>
            <w:rStyle w:val="Hyperlink"/>
            <w:rFonts w:ascii="Garamond" w:hAnsi="Garamond"/>
          </w:rPr>
          <w:t>https://healthybuilding.net/uploads/files/toxic-chemicals-in-building-materials.pdf</w:t>
        </w:r>
      </w:hyperlink>
      <w:r>
        <w:rPr>
          <w:rFonts w:ascii="Garamond" w:hAnsi="Garamond"/>
        </w:rPr>
        <w:t>. (This fact sheet provides an overview of toxic chemicals in building materials for health care organizations.)</w:t>
      </w:r>
      <w:r w:rsidR="008B1701" w:rsidDel="008B1701">
        <w:rPr>
          <w:rFonts w:ascii="Garamond" w:hAnsi="Garamond"/>
        </w:rPr>
        <w:t xml:space="preserve"> </w:t>
      </w:r>
    </w:p>
    <w:p w14:paraId="504AD912" w14:textId="45C0C0CD" w:rsidR="00360421" w:rsidRPr="00734315" w:rsidRDefault="00360421" w:rsidP="00EA7E1C">
      <w:pPr>
        <w:pStyle w:val="NoSpacing"/>
        <w:tabs>
          <w:tab w:val="left" w:pos="720"/>
        </w:tabs>
        <w:ind w:left="720" w:hanging="720"/>
        <w:rPr>
          <w:rFonts w:ascii="Times New Roman" w:hAnsi="Times New Roman"/>
          <w:color w:val="0000FF"/>
          <w:sz w:val="23"/>
        </w:rPr>
      </w:pPr>
    </w:p>
    <w:sectPr w:rsidR="00360421" w:rsidRPr="00734315" w:rsidSect="00F9705F">
      <w:footerReference w:type="default" r:id="rId65"/>
      <w:headerReference w:type="first" r:id="rId66"/>
      <w:pgSz w:w="12240" w:h="15840"/>
      <w:pgMar w:top="1440" w:right="1440" w:bottom="1440" w:left="1440" w:header="47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487F4" w14:textId="77777777" w:rsidR="00335AE7" w:rsidRDefault="00335AE7" w:rsidP="003428FF">
      <w:r>
        <w:separator/>
      </w:r>
    </w:p>
  </w:endnote>
  <w:endnote w:type="continuationSeparator" w:id="0">
    <w:p w14:paraId="120F5182" w14:textId="77777777" w:rsidR="00335AE7" w:rsidRDefault="00335AE7" w:rsidP="003428FF">
      <w:r>
        <w:continuationSeparator/>
      </w:r>
    </w:p>
  </w:endnote>
  <w:endnote w:type="continuationNotice" w:id="1">
    <w:p w14:paraId="29E48A07" w14:textId="77777777" w:rsidR="00335AE7" w:rsidRDefault="00335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DIN-Light">
    <w:panose1 w:val="00000000000000000000"/>
    <w:charset w:val="00"/>
    <w:family w:val="swiss"/>
    <w:notTrueType/>
    <w:pitch w:val="default"/>
    <w:sig w:usb0="00000003" w:usb1="00000000" w:usb2="00000000" w:usb3="00000000" w:csb0="00000001" w:csb1="00000000"/>
  </w:font>
  <w:font w:name="DIN-LightItal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598922"/>
      <w:docPartObj>
        <w:docPartGallery w:val="Page Numbers (Bottom of Page)"/>
        <w:docPartUnique/>
      </w:docPartObj>
    </w:sdtPr>
    <w:sdtEndPr>
      <w:rPr>
        <w:noProof/>
      </w:rPr>
    </w:sdtEndPr>
    <w:sdtContent>
      <w:p w14:paraId="29030340" w14:textId="61144F87" w:rsidR="00A47FB5" w:rsidRDefault="00A47FB5">
        <w:pPr>
          <w:pStyle w:val="Footer"/>
          <w:jc w:val="center"/>
        </w:pPr>
        <w:r>
          <w:fldChar w:fldCharType="begin"/>
        </w:r>
        <w:r>
          <w:instrText xml:space="preserve"> PAGE   \* MERGEFORMAT </w:instrText>
        </w:r>
        <w:r>
          <w:fldChar w:fldCharType="separate"/>
        </w:r>
        <w:r w:rsidR="00262ABE">
          <w:rPr>
            <w:noProof/>
          </w:rPr>
          <w:t>14</w:t>
        </w:r>
        <w:r>
          <w:rPr>
            <w:noProof/>
          </w:rPr>
          <w:fldChar w:fldCharType="end"/>
        </w:r>
      </w:p>
    </w:sdtContent>
  </w:sdt>
  <w:p w14:paraId="0B7515EE" w14:textId="77777777" w:rsidR="00A47FB5" w:rsidRDefault="00A47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2D870" w14:textId="77777777" w:rsidR="00335AE7" w:rsidRDefault="00335AE7" w:rsidP="003428FF">
      <w:r>
        <w:separator/>
      </w:r>
    </w:p>
  </w:footnote>
  <w:footnote w:type="continuationSeparator" w:id="0">
    <w:p w14:paraId="30941D4B" w14:textId="77777777" w:rsidR="00335AE7" w:rsidRDefault="00335AE7" w:rsidP="003428FF">
      <w:r>
        <w:continuationSeparator/>
      </w:r>
    </w:p>
  </w:footnote>
  <w:footnote w:type="continuationNotice" w:id="1">
    <w:p w14:paraId="25D1AA78" w14:textId="77777777" w:rsidR="00335AE7" w:rsidRDefault="00335AE7"/>
  </w:footnote>
  <w:footnote w:id="2">
    <w:p w14:paraId="4F187522" w14:textId="0FDAC829" w:rsidR="008E2F0B" w:rsidRPr="004A41F4" w:rsidRDefault="008E2F0B">
      <w:pPr>
        <w:pStyle w:val="FootnoteText"/>
      </w:pPr>
      <w:r>
        <w:rPr>
          <w:rStyle w:val="FootnoteReference"/>
        </w:rPr>
        <w:footnoteRef/>
      </w:r>
      <w:r>
        <w:t xml:space="preserve"> </w:t>
      </w:r>
      <w:r w:rsidRPr="001A0310">
        <w:t xml:space="preserve">Presenteeism is defined as days at work but limited in performing job tasks because of health </w:t>
      </w:r>
      <w:r w:rsidR="00CF7812">
        <w:t xml:space="preserve">(vs. </w:t>
      </w:r>
      <w:r w:rsidRPr="001A0310">
        <w:t>absenteeism defined as days of work missed because of illness</w:t>
      </w:r>
      <w:r w:rsidR="00CF7812">
        <w:t>)</w:t>
      </w:r>
      <w:r w:rsidRPr="001A0310">
        <w:t>.</w:t>
      </w:r>
      <w:r>
        <w:t xml:space="preserve"> Laurin, L.</w:t>
      </w:r>
      <w:r w:rsidRPr="00A77560">
        <w:t>,</w:t>
      </w:r>
      <w:r>
        <w:t xml:space="preserve"> </w:t>
      </w:r>
      <w:r w:rsidRPr="00A77560">
        <w:t xml:space="preserve">Hayashi, K. (n.d.), </w:t>
      </w:r>
      <w:r w:rsidRPr="00CF7812">
        <w:rPr>
          <w:i/>
        </w:rPr>
        <w:t>Sustainability Return on Investment: A Scenario-based Multicriteria Assessment Toll for Policy-Making</w:t>
      </w:r>
      <w:r w:rsidRPr="00A77560">
        <w:t>. EarthShift Global. https://www.earthshiftglobal.com/docs/sroi-scenario-based-multi-criteria-assessment-tool-policy-japan.pdf</w:t>
      </w:r>
    </w:p>
  </w:footnote>
  <w:footnote w:id="3">
    <w:p w14:paraId="7B604411" w14:textId="77777777" w:rsidR="008E2F0B" w:rsidRDefault="008E2F0B" w:rsidP="009E2C84">
      <w:pPr>
        <w:pStyle w:val="FootnoteText"/>
      </w:pPr>
      <w:r>
        <w:rPr>
          <w:rStyle w:val="FootnoteReference"/>
        </w:rPr>
        <w:footnoteRef/>
      </w:r>
      <w:r>
        <w:t xml:space="preserve"> Figueiro MG. (2017). The impact of daytime light exposures on sleep and mood in office workers.</w:t>
      </w:r>
    </w:p>
    <w:p w14:paraId="37204733" w14:textId="77777777" w:rsidR="008E2F0B" w:rsidRDefault="008E2F0B" w:rsidP="009E2C84">
      <w:pPr>
        <w:pStyle w:val="FootnoteText"/>
      </w:pPr>
      <w:r w:rsidRPr="00CA67C1">
        <w:rPr>
          <w:i/>
        </w:rPr>
        <w:t>Sleep Health</w:t>
      </w:r>
      <w:r>
        <w:t xml:space="preserve">. 2017 Jun;3(3):204-215. </w:t>
      </w:r>
      <w:r w:rsidRPr="00E82EA2">
        <w:t>https://www.ncbi.nlm.nih.gov/pubmed/28526259</w:t>
      </w:r>
    </w:p>
  </w:footnote>
  <w:footnote w:id="4">
    <w:p w14:paraId="1695E114" w14:textId="77777777" w:rsidR="008E2F0B" w:rsidRPr="00E82EA2" w:rsidRDefault="008E2F0B" w:rsidP="00EF269F">
      <w:pPr>
        <w:pStyle w:val="FootnoteText"/>
      </w:pPr>
      <w:r>
        <w:rPr>
          <w:rStyle w:val="FootnoteReference"/>
        </w:rPr>
        <w:footnoteRef/>
      </w:r>
      <w:r>
        <w:t xml:space="preserve"> </w:t>
      </w:r>
      <w:r w:rsidRPr="00E82EA2">
        <w:t xml:space="preserve">Thayer, </w:t>
      </w:r>
      <w:r>
        <w:t xml:space="preserve">J.F., </w:t>
      </w:r>
      <w:r w:rsidRPr="00E82EA2">
        <w:t xml:space="preserve">et. al. (2010). Effects of the physical work environment on physiological measures of stress. </w:t>
      </w:r>
      <w:r w:rsidRPr="00CA67C1">
        <w:rPr>
          <w:i/>
        </w:rPr>
        <w:t>European Journal of Preventive Cardiology</w:t>
      </w:r>
      <w:r>
        <w:t>.</w:t>
      </w:r>
      <w:r w:rsidRPr="00E82EA2">
        <w:t xml:space="preserve"> Vol 17, Issue 4, pp. 431 </w:t>
      </w:r>
      <w:r>
        <w:t>–</w:t>
      </w:r>
      <w:r w:rsidRPr="00E82EA2">
        <w:t xml:space="preserve"> 439</w:t>
      </w:r>
      <w:r>
        <w:t xml:space="preserve">. </w:t>
      </w:r>
      <w:r w:rsidRPr="00CA67C1">
        <w:t>http://journals.sagepub.com/doi/abs/10.1097/HJR.0b013e328336923a#articleCitationDownloadContainer</w:t>
      </w:r>
    </w:p>
  </w:footnote>
  <w:footnote w:id="5">
    <w:p w14:paraId="619F3902" w14:textId="68D99792" w:rsidR="008E2F0B" w:rsidRDefault="008E2F0B">
      <w:pPr>
        <w:pStyle w:val="FootnoteText"/>
      </w:pPr>
      <w:r>
        <w:rPr>
          <w:rStyle w:val="FootnoteReference"/>
        </w:rPr>
        <w:footnoteRef/>
      </w:r>
      <w:r>
        <w:t xml:space="preserve"> Fisk, W.J. and A. H. Rosenfeld (1997). Estimates of Improved Productivity and Health from Better Indoor Environments.  Indoor Air, 7:158-172. </w:t>
      </w:r>
      <w:hyperlink r:id="rId1" w:history="1">
        <w:r w:rsidRPr="005D4EBA">
          <w:rPr>
            <w:rStyle w:val="Hyperlink"/>
          </w:rPr>
          <w:t>http://onlinelibrary.wiley.com/doi/10.1111/j.1600-0668.1997.t01-1-00002.x/abstract</w:t>
        </w:r>
      </w:hyperlink>
      <w:r>
        <w:t xml:space="preserve"> </w:t>
      </w:r>
    </w:p>
  </w:footnote>
  <w:footnote w:id="6">
    <w:p w14:paraId="6E3DF1CB" w14:textId="77777777" w:rsidR="008E2F0B" w:rsidRDefault="008E2F0B" w:rsidP="004C3AD4">
      <w:pPr>
        <w:pStyle w:val="FootnoteText"/>
      </w:pPr>
      <w:r>
        <w:rPr>
          <w:rStyle w:val="FootnoteReference"/>
        </w:rPr>
        <w:footnoteRef/>
      </w:r>
      <w:r>
        <w:t xml:space="preserve"> Figueiro MG. (2017). The impact of daytime light exposures on sleep and mood in office workers.</w:t>
      </w:r>
    </w:p>
    <w:p w14:paraId="5971E671" w14:textId="17D5C2A5" w:rsidR="008E2F0B" w:rsidRDefault="008E2F0B" w:rsidP="004C3AD4">
      <w:pPr>
        <w:pStyle w:val="FootnoteText"/>
      </w:pPr>
      <w:r w:rsidRPr="00CA67C1">
        <w:rPr>
          <w:i/>
        </w:rPr>
        <w:t>Sleep Health</w:t>
      </w:r>
      <w:r>
        <w:t xml:space="preserve">. 2017 Jun;3(3):204-215. </w:t>
      </w:r>
      <w:hyperlink r:id="rId2" w:history="1">
        <w:r w:rsidRPr="005D4EBA">
          <w:rPr>
            <w:rStyle w:val="Hyperlink"/>
          </w:rPr>
          <w:t>https://www.ncbi.nlm.nih.gov/pubmed/28526259</w:t>
        </w:r>
      </w:hyperlink>
      <w:r>
        <w:t xml:space="preserve"> </w:t>
      </w:r>
    </w:p>
  </w:footnote>
  <w:footnote w:id="7">
    <w:p w14:paraId="1EDB57A6" w14:textId="32E7EAFC" w:rsidR="008E2F0B" w:rsidRDefault="008E2F0B" w:rsidP="00030138">
      <w:pPr>
        <w:pStyle w:val="FootnoteText"/>
      </w:pPr>
      <w:r>
        <w:rPr>
          <w:rStyle w:val="FootnoteReference"/>
        </w:rPr>
        <w:footnoteRef/>
      </w:r>
      <w:r>
        <w:t xml:space="preserve"> RAND Corporation, 2016.  Why Sleep Matters: The Economic Costs of Insufficient Sleep </w:t>
      </w:r>
      <w:hyperlink r:id="rId3" w:history="1">
        <w:r w:rsidRPr="005D4EBA">
          <w:rPr>
            <w:rStyle w:val="Hyperlink"/>
          </w:rPr>
          <w:t>https://www.rand.org/randeurope/research/projects/the-value-of-the-sleep-economy.html</w:t>
        </w:r>
      </w:hyperlink>
      <w:r>
        <w:t xml:space="preserve"> </w:t>
      </w:r>
    </w:p>
    <w:p w14:paraId="4D20141F" w14:textId="336D2048" w:rsidR="008E2F0B" w:rsidRDefault="008E2F0B">
      <w:pPr>
        <w:pStyle w:val="FootnoteText"/>
      </w:pPr>
    </w:p>
  </w:footnote>
  <w:footnote w:id="8">
    <w:p w14:paraId="6D09F875" w14:textId="77777777" w:rsidR="008E2F0B" w:rsidRDefault="008E2F0B" w:rsidP="00D2423B">
      <w:pPr>
        <w:pStyle w:val="FootnoteText"/>
      </w:pPr>
      <w:r>
        <w:rPr>
          <w:rStyle w:val="FootnoteReference"/>
        </w:rPr>
        <w:footnoteRef/>
      </w:r>
      <w:r>
        <w:t xml:space="preserve"> See, in particular, the research findings collected at </w:t>
      </w:r>
      <w:r w:rsidRPr="00017C61">
        <w:t>Lawrence Berkeley National Lab’s Indoor Air Quality Scientific Findings Resource Bank</w:t>
      </w:r>
      <w:r>
        <w:t xml:space="preserve">, </w:t>
      </w:r>
      <w:hyperlink r:id="rId4" w:history="1">
        <w:r w:rsidRPr="00E17865">
          <w:rPr>
            <w:rStyle w:val="Hyperlink"/>
          </w:rPr>
          <w:t>https://iaqscience.lbl.gov/</w:t>
        </w:r>
      </w:hyperlink>
      <w:r>
        <w:t xml:space="preserve"> </w:t>
      </w:r>
    </w:p>
  </w:footnote>
  <w:footnote w:id="9">
    <w:p w14:paraId="50F00AA9" w14:textId="77777777" w:rsidR="008E2F0B" w:rsidRDefault="008E2F0B" w:rsidP="00026872">
      <w:pPr>
        <w:pStyle w:val="FootnoteText"/>
      </w:pPr>
      <w:r>
        <w:rPr>
          <w:rStyle w:val="FootnoteReference"/>
        </w:rPr>
        <w:footnoteRef/>
      </w:r>
      <w:r>
        <w:t xml:space="preserve"> U.S. Congressional Budget Office (</w:t>
      </w:r>
      <w:r w:rsidRPr="002346AC">
        <w:t>CBO</w:t>
      </w:r>
      <w:r>
        <w:t>) (2017).</w:t>
      </w:r>
      <w:r w:rsidRPr="002346AC">
        <w:t xml:space="preserve"> </w:t>
      </w:r>
      <w:r w:rsidRPr="00FE14DE">
        <w:rPr>
          <w:i/>
        </w:rPr>
        <w:t>Testimony on the Costs of Federal Civilian Personnel: A Comparison with Private-Sector Employees</w:t>
      </w:r>
      <w:r>
        <w:rPr>
          <w:i/>
        </w:rPr>
        <w:t>.</w:t>
      </w:r>
      <w:r w:rsidRPr="002346AC">
        <w:t xml:space="preserve"> </w:t>
      </w:r>
      <w:hyperlink r:id="rId5" w:history="1">
        <w:r w:rsidRPr="00530DB7">
          <w:rPr>
            <w:rStyle w:val="Hyperlink"/>
          </w:rPr>
          <w:t>https://www.cbo.gov/publication/52706</w:t>
        </w:r>
      </w:hyperlink>
      <w:r>
        <w:t xml:space="preserve">.  (Excludes: 2.2 million uniformed personnel, about 1 million of whom are reservists; </w:t>
      </w:r>
      <w:r w:rsidRPr="002003A1">
        <w:t>700,000</w:t>
      </w:r>
      <w:r>
        <w:t xml:space="preserve"> employees of USPS and other enterprises not compensated through tax revenues; and contract and grant workers.)</w:t>
      </w:r>
    </w:p>
  </w:footnote>
  <w:footnote w:id="10">
    <w:p w14:paraId="23D5E44A" w14:textId="77777777" w:rsidR="008E2F0B" w:rsidRDefault="008E2F0B" w:rsidP="00026872">
      <w:pPr>
        <w:pStyle w:val="FootnoteText"/>
      </w:pPr>
      <w:r>
        <w:rPr>
          <w:rStyle w:val="FootnoteReference"/>
        </w:rPr>
        <w:footnoteRef/>
      </w:r>
      <w:r>
        <w:t xml:space="preserve"> U.S. Department of Labor, Bureau of Labor Statistics (DOE/BLS) (2017): </w:t>
      </w:r>
      <w:r w:rsidRPr="00FE14DE">
        <w:rPr>
          <w:i/>
        </w:rPr>
        <w:t>Labor Force Statistics from the Current Population Survey</w:t>
      </w:r>
      <w:r>
        <w:t xml:space="preserve">, </w:t>
      </w:r>
      <w:r w:rsidRPr="00FE14DE">
        <w:t>Household Data Annual Averages</w:t>
      </w:r>
      <w:r>
        <w:t xml:space="preserve">, 47. Absences from work of employed full-time wage and salary workers by occupation and industry. </w:t>
      </w:r>
      <w:hyperlink r:id="rId6" w:history="1">
        <w:r w:rsidRPr="00530DB7">
          <w:rPr>
            <w:rStyle w:val="Hyperlink"/>
          </w:rPr>
          <w:t>https://www.bls.gov/cps/cpsaat47.htm</w:t>
        </w:r>
      </w:hyperlink>
      <w:r>
        <w:t xml:space="preserve"> </w:t>
      </w:r>
    </w:p>
  </w:footnote>
  <w:footnote w:id="11">
    <w:p w14:paraId="0EBA96D3" w14:textId="4AE18D4E" w:rsidR="008E2F0B" w:rsidRPr="00652800" w:rsidRDefault="008E2F0B" w:rsidP="002B3EDD">
      <w:pPr>
        <w:pStyle w:val="FootnoteText"/>
        <w:rPr>
          <w:rFonts w:ascii="Calibri" w:hAnsi="Calibri" w:cs="Calibri"/>
        </w:rPr>
      </w:pPr>
      <w:r w:rsidRPr="004C53ED">
        <w:rPr>
          <w:rStyle w:val="FootnoteReference"/>
          <w:rFonts w:ascii="Calibri" w:hAnsi="Calibri" w:cs="Calibri"/>
        </w:rPr>
        <w:footnoteRef/>
      </w:r>
      <w:r w:rsidRPr="004C53ED">
        <w:rPr>
          <w:rFonts w:ascii="Calibri" w:hAnsi="Calibri" w:cs="Calibri"/>
        </w:rPr>
        <w:t xml:space="preserve"> Dodge Data &amp; Analytics. (2016). </w:t>
      </w:r>
      <w:r w:rsidRPr="004C53ED">
        <w:rPr>
          <w:rStyle w:val="HeaderChar"/>
          <w:rFonts w:ascii="Calibri" w:hAnsi="Calibri" w:cs="Calibri"/>
          <w:i/>
        </w:rPr>
        <w:t xml:space="preserve">The Drive Towards Healthier Buildings 2016. </w:t>
      </w:r>
      <w:hyperlink r:id="rId7" w:history="1">
        <w:r w:rsidRPr="00652800">
          <w:rPr>
            <w:rStyle w:val="Hyperlink"/>
            <w:rFonts w:ascii="Calibri" w:eastAsia="MS Mincho" w:hAnsi="Calibri" w:cs="Calibri"/>
          </w:rPr>
          <w:t>https://www.construction.com/toolkit/reports/drive-toward-healthier-buildings</w:t>
        </w:r>
      </w:hyperlink>
    </w:p>
  </w:footnote>
  <w:footnote w:id="12">
    <w:p w14:paraId="4096E178" w14:textId="70037006" w:rsidR="008E2F0B" w:rsidRDefault="008E2F0B" w:rsidP="00EB0E71">
      <w:pPr>
        <w:pStyle w:val="FootnoteText"/>
      </w:pPr>
      <w:r>
        <w:rPr>
          <w:rStyle w:val="FootnoteReference"/>
        </w:rPr>
        <w:footnoteRef/>
      </w:r>
      <w:r>
        <w:t xml:space="preserve"> Mitchell RJ, Bates P. (2011). Measuring Health-Related Productivity Loss. </w:t>
      </w:r>
      <w:r>
        <w:rPr>
          <w:i/>
          <w:iCs/>
        </w:rPr>
        <w:t>Population Health Management</w:t>
      </w:r>
      <w:r>
        <w:t>. 2011;14(2):93-98. doi:10.1089/pop.2010.0014.</w:t>
      </w:r>
    </w:p>
  </w:footnote>
  <w:footnote w:id="13">
    <w:p w14:paraId="1D6A10BF" w14:textId="77777777" w:rsidR="008E2F0B" w:rsidRDefault="008E2F0B" w:rsidP="00B30993">
      <w:pPr>
        <w:pStyle w:val="FootnoteText"/>
      </w:pPr>
      <w:r>
        <w:rPr>
          <w:rStyle w:val="FootnoteReference"/>
        </w:rPr>
        <w:footnoteRef/>
      </w:r>
      <w:r>
        <w:t xml:space="preserve"> </w:t>
      </w:r>
      <w:hyperlink r:id="rId8" w:history="1">
        <w:r w:rsidRPr="005D4EBA">
          <w:rPr>
            <w:rStyle w:val="Hyperlink"/>
          </w:rPr>
          <w:t>https://en.wikipedia.org/wiki/Sustainable_return_on_investment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40B0A" w14:textId="36A9A57B" w:rsidR="008E2F0B" w:rsidRPr="00C74343" w:rsidRDefault="008E2F0B">
    <w:pPr>
      <w:pStyle w:val="Header"/>
      <w:rPr>
        <w:sz w:val="20"/>
        <w:szCs w:val="20"/>
      </w:rPr>
    </w:pPr>
    <w:r w:rsidRPr="00C74343">
      <w:rPr>
        <w:sz w:val="20"/>
        <w:szCs w:val="20"/>
      </w:rPr>
      <w:t xml:space="preserve">Note: This proposal is the work of an independent advisory committee to GSA, and as such, may or may not be consistent with current GSA </w:t>
    </w:r>
    <w:r>
      <w:rPr>
        <w:sz w:val="20"/>
        <w:szCs w:val="20"/>
      </w:rPr>
      <w:t xml:space="preserve">or other Federal </w:t>
    </w:r>
    <w:r w:rsidRPr="00C74343">
      <w:rPr>
        <w:sz w:val="20"/>
        <w:szCs w:val="20"/>
      </w:rPr>
      <w:t>Policy. Mention of any product</w:t>
    </w:r>
    <w:r>
      <w:rPr>
        <w:sz w:val="20"/>
        <w:szCs w:val="20"/>
      </w:rPr>
      <w:t>, service</w:t>
    </w:r>
    <w:r w:rsidRPr="00C74343">
      <w:rPr>
        <w:sz w:val="20"/>
        <w:szCs w:val="20"/>
      </w:rPr>
      <w:t xml:space="preserve"> or program herein does not constitute endorsement.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72C"/>
    <w:multiLevelType w:val="hybridMultilevel"/>
    <w:tmpl w:val="A4E09B06"/>
    <w:lvl w:ilvl="0" w:tplc="ED1A9D0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544C"/>
    <w:multiLevelType w:val="hybridMultilevel"/>
    <w:tmpl w:val="51F46D28"/>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40116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082722"/>
    <w:multiLevelType w:val="hybridMultilevel"/>
    <w:tmpl w:val="FFCE16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892230"/>
    <w:multiLevelType w:val="hybridMultilevel"/>
    <w:tmpl w:val="C2D63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12BD4"/>
    <w:multiLevelType w:val="hybridMultilevel"/>
    <w:tmpl w:val="C2D63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92546"/>
    <w:multiLevelType w:val="hybridMultilevel"/>
    <w:tmpl w:val="6310D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C0898"/>
    <w:multiLevelType w:val="hybridMultilevel"/>
    <w:tmpl w:val="9E26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F730F"/>
    <w:multiLevelType w:val="hybridMultilevel"/>
    <w:tmpl w:val="C2D63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C1C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6385165"/>
    <w:multiLevelType w:val="hybridMultilevel"/>
    <w:tmpl w:val="8B3C01B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7E16FBF"/>
    <w:multiLevelType w:val="hybridMultilevel"/>
    <w:tmpl w:val="A1E669AA"/>
    <w:lvl w:ilvl="0" w:tplc="5442BB1A">
      <w:numFmt w:val="bullet"/>
      <w:lvlText w:val="-"/>
      <w:lvlJc w:val="left"/>
      <w:pPr>
        <w:ind w:left="23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B5C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881734F"/>
    <w:multiLevelType w:val="hybridMultilevel"/>
    <w:tmpl w:val="80828F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8690F"/>
    <w:multiLevelType w:val="hybridMultilevel"/>
    <w:tmpl w:val="52863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C63BA"/>
    <w:multiLevelType w:val="hybridMultilevel"/>
    <w:tmpl w:val="60D42954"/>
    <w:lvl w:ilvl="0" w:tplc="210A0606">
      <w:numFmt w:val="bullet"/>
      <w:lvlText w:val="-"/>
      <w:lvlJc w:val="left"/>
      <w:pPr>
        <w:ind w:left="1080" w:hanging="72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34463"/>
    <w:multiLevelType w:val="hybridMultilevel"/>
    <w:tmpl w:val="80828F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D71DA"/>
    <w:multiLevelType w:val="hybridMultilevel"/>
    <w:tmpl w:val="FFB0C2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8" w15:restartNumberingAfterBreak="0">
    <w:nsid w:val="77A07512"/>
    <w:multiLevelType w:val="hybridMultilevel"/>
    <w:tmpl w:val="232A512A"/>
    <w:lvl w:ilvl="0" w:tplc="5442BB1A">
      <w:numFmt w:val="bullet"/>
      <w:lvlText w:val="-"/>
      <w:lvlJc w:val="left"/>
      <w:pPr>
        <w:ind w:left="252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789F3E41"/>
    <w:multiLevelType w:val="hybridMultilevel"/>
    <w:tmpl w:val="2558FB4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BA133BF"/>
    <w:multiLevelType w:val="hybridMultilevel"/>
    <w:tmpl w:val="3D02F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442BB1A">
      <w:numFmt w:val="bullet"/>
      <w:lvlText w:val="-"/>
      <w:lvlJc w:val="left"/>
      <w:pPr>
        <w:ind w:left="2340" w:hanging="360"/>
      </w:pPr>
      <w:rPr>
        <w:rFonts w:ascii="Arial" w:eastAsia="Times New Roman" w:hAnsi="Arial" w:cs="Aria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CC5904"/>
    <w:multiLevelType w:val="hybridMultilevel"/>
    <w:tmpl w:val="D934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84DA2"/>
    <w:multiLevelType w:val="hybridMultilevel"/>
    <w:tmpl w:val="27BCCE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
  </w:num>
  <w:num w:numId="3">
    <w:abstractNumId w:val="15"/>
  </w:num>
  <w:num w:numId="4">
    <w:abstractNumId w:val="4"/>
  </w:num>
  <w:num w:numId="5">
    <w:abstractNumId w:val="9"/>
  </w:num>
  <w:num w:numId="6">
    <w:abstractNumId w:val="12"/>
  </w:num>
  <w:num w:numId="7">
    <w:abstractNumId w:val="11"/>
  </w:num>
  <w:num w:numId="8">
    <w:abstractNumId w:val="3"/>
  </w:num>
  <w:num w:numId="9">
    <w:abstractNumId w:val="1"/>
  </w:num>
  <w:num w:numId="10">
    <w:abstractNumId w:val="22"/>
  </w:num>
  <w:num w:numId="11">
    <w:abstractNumId w:val="18"/>
  </w:num>
  <w:num w:numId="12">
    <w:abstractNumId w:val="19"/>
  </w:num>
  <w:num w:numId="13">
    <w:abstractNumId w:val="10"/>
  </w:num>
  <w:num w:numId="14">
    <w:abstractNumId w:val="13"/>
  </w:num>
  <w:num w:numId="15">
    <w:abstractNumId w:val="0"/>
  </w:num>
  <w:num w:numId="16">
    <w:abstractNumId w:val="8"/>
  </w:num>
  <w:num w:numId="17">
    <w:abstractNumId w:val="17"/>
  </w:num>
  <w:num w:numId="18">
    <w:abstractNumId w:val="5"/>
  </w:num>
  <w:num w:numId="19">
    <w:abstractNumId w:val="21"/>
  </w:num>
  <w:num w:numId="20">
    <w:abstractNumId w:val="16"/>
  </w:num>
  <w:num w:numId="21">
    <w:abstractNumId w:val="6"/>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FF"/>
    <w:rsid w:val="0000432A"/>
    <w:rsid w:val="00007B68"/>
    <w:rsid w:val="00014BCF"/>
    <w:rsid w:val="00022B39"/>
    <w:rsid w:val="00026872"/>
    <w:rsid w:val="00030138"/>
    <w:rsid w:val="00030D84"/>
    <w:rsid w:val="000329A9"/>
    <w:rsid w:val="000347F1"/>
    <w:rsid w:val="00035741"/>
    <w:rsid w:val="00040228"/>
    <w:rsid w:val="000408C1"/>
    <w:rsid w:val="00052926"/>
    <w:rsid w:val="000602A4"/>
    <w:rsid w:val="00064754"/>
    <w:rsid w:val="0007198C"/>
    <w:rsid w:val="00075CC6"/>
    <w:rsid w:val="0007731D"/>
    <w:rsid w:val="00080A3E"/>
    <w:rsid w:val="00094A5A"/>
    <w:rsid w:val="0009618C"/>
    <w:rsid w:val="000977C8"/>
    <w:rsid w:val="000A2C34"/>
    <w:rsid w:val="000A6246"/>
    <w:rsid w:val="000C2920"/>
    <w:rsid w:val="000C37A8"/>
    <w:rsid w:val="000C3DEF"/>
    <w:rsid w:val="000C5ECB"/>
    <w:rsid w:val="000E38DD"/>
    <w:rsid w:val="000F5FBB"/>
    <w:rsid w:val="000F60DA"/>
    <w:rsid w:val="00114BBF"/>
    <w:rsid w:val="00115481"/>
    <w:rsid w:val="001206E2"/>
    <w:rsid w:val="00124441"/>
    <w:rsid w:val="001254E5"/>
    <w:rsid w:val="001257EE"/>
    <w:rsid w:val="001258C0"/>
    <w:rsid w:val="0012628E"/>
    <w:rsid w:val="001307ED"/>
    <w:rsid w:val="00133158"/>
    <w:rsid w:val="00133222"/>
    <w:rsid w:val="00141C7A"/>
    <w:rsid w:val="001500A4"/>
    <w:rsid w:val="001516C6"/>
    <w:rsid w:val="0015319D"/>
    <w:rsid w:val="00154625"/>
    <w:rsid w:val="001564E7"/>
    <w:rsid w:val="0015680B"/>
    <w:rsid w:val="00157150"/>
    <w:rsid w:val="0016404E"/>
    <w:rsid w:val="00170A23"/>
    <w:rsid w:val="00170A30"/>
    <w:rsid w:val="00172137"/>
    <w:rsid w:val="001768D4"/>
    <w:rsid w:val="00191D2F"/>
    <w:rsid w:val="0019611C"/>
    <w:rsid w:val="00196F0B"/>
    <w:rsid w:val="00197C00"/>
    <w:rsid w:val="001A0310"/>
    <w:rsid w:val="001A7369"/>
    <w:rsid w:val="001B53D7"/>
    <w:rsid w:val="001C0A2C"/>
    <w:rsid w:val="001C37D9"/>
    <w:rsid w:val="001C44F3"/>
    <w:rsid w:val="001D098B"/>
    <w:rsid w:val="001D0B68"/>
    <w:rsid w:val="001D1EFC"/>
    <w:rsid w:val="001E1A32"/>
    <w:rsid w:val="001E63B7"/>
    <w:rsid w:val="001E721D"/>
    <w:rsid w:val="001F2342"/>
    <w:rsid w:val="001F2727"/>
    <w:rsid w:val="001F382A"/>
    <w:rsid w:val="001F4871"/>
    <w:rsid w:val="001F52D9"/>
    <w:rsid w:val="00201897"/>
    <w:rsid w:val="00202786"/>
    <w:rsid w:val="00203ADF"/>
    <w:rsid w:val="00203B55"/>
    <w:rsid w:val="0020436E"/>
    <w:rsid w:val="002044EF"/>
    <w:rsid w:val="0021733F"/>
    <w:rsid w:val="0021738A"/>
    <w:rsid w:val="0022192F"/>
    <w:rsid w:val="00224406"/>
    <w:rsid w:val="00230144"/>
    <w:rsid w:val="00231266"/>
    <w:rsid w:val="00232DCD"/>
    <w:rsid w:val="00233608"/>
    <w:rsid w:val="00235372"/>
    <w:rsid w:val="002364DF"/>
    <w:rsid w:val="00244B00"/>
    <w:rsid w:val="00252A57"/>
    <w:rsid w:val="00261A75"/>
    <w:rsid w:val="00262940"/>
    <w:rsid w:val="00262ABE"/>
    <w:rsid w:val="00270217"/>
    <w:rsid w:val="002716FB"/>
    <w:rsid w:val="00271834"/>
    <w:rsid w:val="002721BF"/>
    <w:rsid w:val="002837B3"/>
    <w:rsid w:val="002848B6"/>
    <w:rsid w:val="0029002B"/>
    <w:rsid w:val="00290AF6"/>
    <w:rsid w:val="00293C29"/>
    <w:rsid w:val="00296C51"/>
    <w:rsid w:val="002A5EF8"/>
    <w:rsid w:val="002A68F0"/>
    <w:rsid w:val="002B02E6"/>
    <w:rsid w:val="002B339A"/>
    <w:rsid w:val="002B3EDD"/>
    <w:rsid w:val="002B631F"/>
    <w:rsid w:val="002B706A"/>
    <w:rsid w:val="002C0E7D"/>
    <w:rsid w:val="002C6ABE"/>
    <w:rsid w:val="002D5963"/>
    <w:rsid w:val="002E33DD"/>
    <w:rsid w:val="00302D20"/>
    <w:rsid w:val="00305A89"/>
    <w:rsid w:val="0031393A"/>
    <w:rsid w:val="003139A0"/>
    <w:rsid w:val="00314E8A"/>
    <w:rsid w:val="003152E7"/>
    <w:rsid w:val="0032646C"/>
    <w:rsid w:val="003302CC"/>
    <w:rsid w:val="00335AE7"/>
    <w:rsid w:val="003401C2"/>
    <w:rsid w:val="003428FF"/>
    <w:rsid w:val="00343FB2"/>
    <w:rsid w:val="003528A1"/>
    <w:rsid w:val="003539C2"/>
    <w:rsid w:val="00355262"/>
    <w:rsid w:val="00360421"/>
    <w:rsid w:val="0036131A"/>
    <w:rsid w:val="00361761"/>
    <w:rsid w:val="0036267F"/>
    <w:rsid w:val="00370931"/>
    <w:rsid w:val="00375130"/>
    <w:rsid w:val="003815CE"/>
    <w:rsid w:val="00385CD6"/>
    <w:rsid w:val="00385FA2"/>
    <w:rsid w:val="00387601"/>
    <w:rsid w:val="00387DC8"/>
    <w:rsid w:val="00387FF3"/>
    <w:rsid w:val="0039106B"/>
    <w:rsid w:val="003A0171"/>
    <w:rsid w:val="003A70FD"/>
    <w:rsid w:val="003B1FE8"/>
    <w:rsid w:val="003B3C1C"/>
    <w:rsid w:val="003B500B"/>
    <w:rsid w:val="003C08C5"/>
    <w:rsid w:val="003C451B"/>
    <w:rsid w:val="003C4EEA"/>
    <w:rsid w:val="003D12C5"/>
    <w:rsid w:val="003D6F36"/>
    <w:rsid w:val="003E1CD0"/>
    <w:rsid w:val="003E3D13"/>
    <w:rsid w:val="003F0B68"/>
    <w:rsid w:val="003F1245"/>
    <w:rsid w:val="003F67F8"/>
    <w:rsid w:val="0040207D"/>
    <w:rsid w:val="00407ED6"/>
    <w:rsid w:val="004120F6"/>
    <w:rsid w:val="004125ED"/>
    <w:rsid w:val="00415EFE"/>
    <w:rsid w:val="00426989"/>
    <w:rsid w:val="00431DB9"/>
    <w:rsid w:val="00432699"/>
    <w:rsid w:val="004341F5"/>
    <w:rsid w:val="00441933"/>
    <w:rsid w:val="00457C9E"/>
    <w:rsid w:val="0046177F"/>
    <w:rsid w:val="00463059"/>
    <w:rsid w:val="0047088C"/>
    <w:rsid w:val="00472439"/>
    <w:rsid w:val="00474CDF"/>
    <w:rsid w:val="00485B6D"/>
    <w:rsid w:val="00487832"/>
    <w:rsid w:val="004A0150"/>
    <w:rsid w:val="004A3A87"/>
    <w:rsid w:val="004A41F4"/>
    <w:rsid w:val="004A6C08"/>
    <w:rsid w:val="004B5DDE"/>
    <w:rsid w:val="004B5E0B"/>
    <w:rsid w:val="004C3AD4"/>
    <w:rsid w:val="004C53ED"/>
    <w:rsid w:val="004D13F4"/>
    <w:rsid w:val="004E39EA"/>
    <w:rsid w:val="004E49DE"/>
    <w:rsid w:val="004E6440"/>
    <w:rsid w:val="004E6BA7"/>
    <w:rsid w:val="004F3ED0"/>
    <w:rsid w:val="00500971"/>
    <w:rsid w:val="005137F7"/>
    <w:rsid w:val="00524CC9"/>
    <w:rsid w:val="0054077E"/>
    <w:rsid w:val="00540A90"/>
    <w:rsid w:val="005473C5"/>
    <w:rsid w:val="00553A0A"/>
    <w:rsid w:val="00553D83"/>
    <w:rsid w:val="00557A05"/>
    <w:rsid w:val="00560552"/>
    <w:rsid w:val="00561A7A"/>
    <w:rsid w:val="0056497E"/>
    <w:rsid w:val="0057142B"/>
    <w:rsid w:val="00574FA9"/>
    <w:rsid w:val="0058095E"/>
    <w:rsid w:val="00580B9F"/>
    <w:rsid w:val="0058173C"/>
    <w:rsid w:val="0058223B"/>
    <w:rsid w:val="00582423"/>
    <w:rsid w:val="005843FD"/>
    <w:rsid w:val="00593B76"/>
    <w:rsid w:val="00594933"/>
    <w:rsid w:val="00596212"/>
    <w:rsid w:val="005A0054"/>
    <w:rsid w:val="005A69D1"/>
    <w:rsid w:val="005B58CF"/>
    <w:rsid w:val="005C2C7A"/>
    <w:rsid w:val="005C3A58"/>
    <w:rsid w:val="005D3996"/>
    <w:rsid w:val="005D5406"/>
    <w:rsid w:val="005E18B5"/>
    <w:rsid w:val="005E57A0"/>
    <w:rsid w:val="005E7320"/>
    <w:rsid w:val="005F4C89"/>
    <w:rsid w:val="006006AE"/>
    <w:rsid w:val="00605965"/>
    <w:rsid w:val="006126FC"/>
    <w:rsid w:val="0061362B"/>
    <w:rsid w:val="00620133"/>
    <w:rsid w:val="00630A34"/>
    <w:rsid w:val="00630EDD"/>
    <w:rsid w:val="00632801"/>
    <w:rsid w:val="00645F34"/>
    <w:rsid w:val="00650DFE"/>
    <w:rsid w:val="00651D28"/>
    <w:rsid w:val="006525EE"/>
    <w:rsid w:val="00652800"/>
    <w:rsid w:val="00652FC4"/>
    <w:rsid w:val="006533EC"/>
    <w:rsid w:val="00653605"/>
    <w:rsid w:val="00654B00"/>
    <w:rsid w:val="00660914"/>
    <w:rsid w:val="00664142"/>
    <w:rsid w:val="00665FBA"/>
    <w:rsid w:val="006749CA"/>
    <w:rsid w:val="00674E91"/>
    <w:rsid w:val="0068262D"/>
    <w:rsid w:val="00690140"/>
    <w:rsid w:val="006909DC"/>
    <w:rsid w:val="006933B6"/>
    <w:rsid w:val="006952C9"/>
    <w:rsid w:val="006A0A78"/>
    <w:rsid w:val="006A270D"/>
    <w:rsid w:val="006A359F"/>
    <w:rsid w:val="006A7465"/>
    <w:rsid w:val="006B7617"/>
    <w:rsid w:val="006B7AFE"/>
    <w:rsid w:val="006D7358"/>
    <w:rsid w:val="006E2F80"/>
    <w:rsid w:val="006E3D34"/>
    <w:rsid w:val="006F15AC"/>
    <w:rsid w:val="0070082C"/>
    <w:rsid w:val="0070114E"/>
    <w:rsid w:val="00702782"/>
    <w:rsid w:val="0070647A"/>
    <w:rsid w:val="00712957"/>
    <w:rsid w:val="0072253B"/>
    <w:rsid w:val="00726772"/>
    <w:rsid w:val="0073221D"/>
    <w:rsid w:val="0073307C"/>
    <w:rsid w:val="00734315"/>
    <w:rsid w:val="00736065"/>
    <w:rsid w:val="007363AF"/>
    <w:rsid w:val="00736C64"/>
    <w:rsid w:val="00742924"/>
    <w:rsid w:val="00746122"/>
    <w:rsid w:val="0075176D"/>
    <w:rsid w:val="00751A89"/>
    <w:rsid w:val="00765819"/>
    <w:rsid w:val="00770DDC"/>
    <w:rsid w:val="00773ED4"/>
    <w:rsid w:val="00780CB3"/>
    <w:rsid w:val="0078135E"/>
    <w:rsid w:val="00783C1E"/>
    <w:rsid w:val="00785FD9"/>
    <w:rsid w:val="007860EE"/>
    <w:rsid w:val="00786F5A"/>
    <w:rsid w:val="00791046"/>
    <w:rsid w:val="00791A60"/>
    <w:rsid w:val="007931D9"/>
    <w:rsid w:val="007946E5"/>
    <w:rsid w:val="00796AD8"/>
    <w:rsid w:val="007A3E1A"/>
    <w:rsid w:val="007C09EA"/>
    <w:rsid w:val="007C21FF"/>
    <w:rsid w:val="007C6CE7"/>
    <w:rsid w:val="007C73EC"/>
    <w:rsid w:val="007D2A99"/>
    <w:rsid w:val="007D64BD"/>
    <w:rsid w:val="007D64F4"/>
    <w:rsid w:val="007D795A"/>
    <w:rsid w:val="007E089C"/>
    <w:rsid w:val="007E2B99"/>
    <w:rsid w:val="007E61C8"/>
    <w:rsid w:val="007F07B0"/>
    <w:rsid w:val="00803AFF"/>
    <w:rsid w:val="008164DC"/>
    <w:rsid w:val="00820CAA"/>
    <w:rsid w:val="00820CC5"/>
    <w:rsid w:val="00834DA7"/>
    <w:rsid w:val="00835A81"/>
    <w:rsid w:val="008376EC"/>
    <w:rsid w:val="00842C0D"/>
    <w:rsid w:val="008438A5"/>
    <w:rsid w:val="00843AA3"/>
    <w:rsid w:val="00843DC6"/>
    <w:rsid w:val="00853953"/>
    <w:rsid w:val="00856C21"/>
    <w:rsid w:val="008605D1"/>
    <w:rsid w:val="00862262"/>
    <w:rsid w:val="0087115F"/>
    <w:rsid w:val="00876FBF"/>
    <w:rsid w:val="00881FCC"/>
    <w:rsid w:val="00890C64"/>
    <w:rsid w:val="00892AF6"/>
    <w:rsid w:val="0089383F"/>
    <w:rsid w:val="00893C58"/>
    <w:rsid w:val="008940CF"/>
    <w:rsid w:val="00896964"/>
    <w:rsid w:val="00896C35"/>
    <w:rsid w:val="008A558D"/>
    <w:rsid w:val="008A78F2"/>
    <w:rsid w:val="008B0698"/>
    <w:rsid w:val="008B1701"/>
    <w:rsid w:val="008B273E"/>
    <w:rsid w:val="008B515F"/>
    <w:rsid w:val="008B5614"/>
    <w:rsid w:val="008C65B3"/>
    <w:rsid w:val="008C7B53"/>
    <w:rsid w:val="008E160C"/>
    <w:rsid w:val="008E2F0B"/>
    <w:rsid w:val="008F523A"/>
    <w:rsid w:val="00910FD0"/>
    <w:rsid w:val="00913ED7"/>
    <w:rsid w:val="00932670"/>
    <w:rsid w:val="00932F5E"/>
    <w:rsid w:val="009352B7"/>
    <w:rsid w:val="009404A6"/>
    <w:rsid w:val="0094699A"/>
    <w:rsid w:val="00946AF2"/>
    <w:rsid w:val="00950E6F"/>
    <w:rsid w:val="009517A4"/>
    <w:rsid w:val="00953BD8"/>
    <w:rsid w:val="009541DB"/>
    <w:rsid w:val="009543DA"/>
    <w:rsid w:val="0095590F"/>
    <w:rsid w:val="0096279A"/>
    <w:rsid w:val="00970226"/>
    <w:rsid w:val="009702C9"/>
    <w:rsid w:val="00970753"/>
    <w:rsid w:val="00974C51"/>
    <w:rsid w:val="00975002"/>
    <w:rsid w:val="00975DFD"/>
    <w:rsid w:val="00976529"/>
    <w:rsid w:val="0097669A"/>
    <w:rsid w:val="0098139A"/>
    <w:rsid w:val="009823ED"/>
    <w:rsid w:val="009845A1"/>
    <w:rsid w:val="00987B1D"/>
    <w:rsid w:val="009B36EF"/>
    <w:rsid w:val="009B5454"/>
    <w:rsid w:val="009B6683"/>
    <w:rsid w:val="009C20D0"/>
    <w:rsid w:val="009C2806"/>
    <w:rsid w:val="009D29FD"/>
    <w:rsid w:val="009E2C84"/>
    <w:rsid w:val="009E707C"/>
    <w:rsid w:val="009F1B2D"/>
    <w:rsid w:val="00A006AE"/>
    <w:rsid w:val="00A03DB7"/>
    <w:rsid w:val="00A041EF"/>
    <w:rsid w:val="00A1221C"/>
    <w:rsid w:val="00A13148"/>
    <w:rsid w:val="00A13EEB"/>
    <w:rsid w:val="00A14B86"/>
    <w:rsid w:val="00A16A21"/>
    <w:rsid w:val="00A21EB3"/>
    <w:rsid w:val="00A237B9"/>
    <w:rsid w:val="00A24BC3"/>
    <w:rsid w:val="00A25614"/>
    <w:rsid w:val="00A30B32"/>
    <w:rsid w:val="00A310FE"/>
    <w:rsid w:val="00A32025"/>
    <w:rsid w:val="00A35A65"/>
    <w:rsid w:val="00A42295"/>
    <w:rsid w:val="00A42B23"/>
    <w:rsid w:val="00A43DEE"/>
    <w:rsid w:val="00A47FB5"/>
    <w:rsid w:val="00A50101"/>
    <w:rsid w:val="00A61E4C"/>
    <w:rsid w:val="00A66C1B"/>
    <w:rsid w:val="00A671EF"/>
    <w:rsid w:val="00A67F6F"/>
    <w:rsid w:val="00A747F0"/>
    <w:rsid w:val="00A74B4D"/>
    <w:rsid w:val="00A77560"/>
    <w:rsid w:val="00A84753"/>
    <w:rsid w:val="00A919AF"/>
    <w:rsid w:val="00A92173"/>
    <w:rsid w:val="00A94EE2"/>
    <w:rsid w:val="00AA6FC8"/>
    <w:rsid w:val="00AB05A2"/>
    <w:rsid w:val="00AB4356"/>
    <w:rsid w:val="00AB5047"/>
    <w:rsid w:val="00AC527D"/>
    <w:rsid w:val="00AC65CC"/>
    <w:rsid w:val="00AD3DB2"/>
    <w:rsid w:val="00AE2D8C"/>
    <w:rsid w:val="00AE73CB"/>
    <w:rsid w:val="00AF0544"/>
    <w:rsid w:val="00AF76E7"/>
    <w:rsid w:val="00B00ABE"/>
    <w:rsid w:val="00B10E53"/>
    <w:rsid w:val="00B128AE"/>
    <w:rsid w:val="00B20AA0"/>
    <w:rsid w:val="00B22AF0"/>
    <w:rsid w:val="00B23DEB"/>
    <w:rsid w:val="00B253B7"/>
    <w:rsid w:val="00B25EBD"/>
    <w:rsid w:val="00B30993"/>
    <w:rsid w:val="00B332C9"/>
    <w:rsid w:val="00B338C6"/>
    <w:rsid w:val="00B35D32"/>
    <w:rsid w:val="00B454A4"/>
    <w:rsid w:val="00B4614A"/>
    <w:rsid w:val="00B51459"/>
    <w:rsid w:val="00B65DE5"/>
    <w:rsid w:val="00B677A2"/>
    <w:rsid w:val="00B70EEA"/>
    <w:rsid w:val="00B7237E"/>
    <w:rsid w:val="00B727A2"/>
    <w:rsid w:val="00B73C8F"/>
    <w:rsid w:val="00B74CCF"/>
    <w:rsid w:val="00B760E2"/>
    <w:rsid w:val="00B77332"/>
    <w:rsid w:val="00B82B63"/>
    <w:rsid w:val="00B86637"/>
    <w:rsid w:val="00B86DCB"/>
    <w:rsid w:val="00B90524"/>
    <w:rsid w:val="00B9621F"/>
    <w:rsid w:val="00BA6A27"/>
    <w:rsid w:val="00BB06BB"/>
    <w:rsid w:val="00BB33DD"/>
    <w:rsid w:val="00BB41E1"/>
    <w:rsid w:val="00BB74E5"/>
    <w:rsid w:val="00BD2588"/>
    <w:rsid w:val="00BE12C7"/>
    <w:rsid w:val="00BE1BD2"/>
    <w:rsid w:val="00BE2DEA"/>
    <w:rsid w:val="00BE53B0"/>
    <w:rsid w:val="00BF4812"/>
    <w:rsid w:val="00BF4AD7"/>
    <w:rsid w:val="00BF6BD4"/>
    <w:rsid w:val="00C0103E"/>
    <w:rsid w:val="00C05B36"/>
    <w:rsid w:val="00C073D7"/>
    <w:rsid w:val="00C07AA8"/>
    <w:rsid w:val="00C1312B"/>
    <w:rsid w:val="00C142BA"/>
    <w:rsid w:val="00C146D6"/>
    <w:rsid w:val="00C16963"/>
    <w:rsid w:val="00C21F12"/>
    <w:rsid w:val="00C342E0"/>
    <w:rsid w:val="00C37903"/>
    <w:rsid w:val="00C44F32"/>
    <w:rsid w:val="00C45108"/>
    <w:rsid w:val="00C45A86"/>
    <w:rsid w:val="00C51EFA"/>
    <w:rsid w:val="00C64A79"/>
    <w:rsid w:val="00C74343"/>
    <w:rsid w:val="00C821F9"/>
    <w:rsid w:val="00CA01AB"/>
    <w:rsid w:val="00CA4615"/>
    <w:rsid w:val="00CA70E3"/>
    <w:rsid w:val="00CA750E"/>
    <w:rsid w:val="00CA7D9B"/>
    <w:rsid w:val="00CB056E"/>
    <w:rsid w:val="00CB299A"/>
    <w:rsid w:val="00CB3038"/>
    <w:rsid w:val="00CB4796"/>
    <w:rsid w:val="00CC0478"/>
    <w:rsid w:val="00CD1694"/>
    <w:rsid w:val="00CD42D0"/>
    <w:rsid w:val="00CD4704"/>
    <w:rsid w:val="00CD7FBF"/>
    <w:rsid w:val="00CE3D56"/>
    <w:rsid w:val="00CF0DA0"/>
    <w:rsid w:val="00CF1310"/>
    <w:rsid w:val="00CF5254"/>
    <w:rsid w:val="00CF7812"/>
    <w:rsid w:val="00CF7DE0"/>
    <w:rsid w:val="00D0026F"/>
    <w:rsid w:val="00D00676"/>
    <w:rsid w:val="00D04A68"/>
    <w:rsid w:val="00D04ABB"/>
    <w:rsid w:val="00D0598D"/>
    <w:rsid w:val="00D145CD"/>
    <w:rsid w:val="00D15945"/>
    <w:rsid w:val="00D16AFC"/>
    <w:rsid w:val="00D20456"/>
    <w:rsid w:val="00D2423B"/>
    <w:rsid w:val="00D32A67"/>
    <w:rsid w:val="00D32EDF"/>
    <w:rsid w:val="00D379C2"/>
    <w:rsid w:val="00D40216"/>
    <w:rsid w:val="00D43D1A"/>
    <w:rsid w:val="00D503ED"/>
    <w:rsid w:val="00D50B9C"/>
    <w:rsid w:val="00D55F81"/>
    <w:rsid w:val="00D62028"/>
    <w:rsid w:val="00D63A99"/>
    <w:rsid w:val="00D670E4"/>
    <w:rsid w:val="00D71B2E"/>
    <w:rsid w:val="00D72C1F"/>
    <w:rsid w:val="00D831F8"/>
    <w:rsid w:val="00D84EA7"/>
    <w:rsid w:val="00D85331"/>
    <w:rsid w:val="00D86602"/>
    <w:rsid w:val="00D925D9"/>
    <w:rsid w:val="00D93B86"/>
    <w:rsid w:val="00D95C22"/>
    <w:rsid w:val="00D975F6"/>
    <w:rsid w:val="00DA1D43"/>
    <w:rsid w:val="00DA2B9A"/>
    <w:rsid w:val="00DB444B"/>
    <w:rsid w:val="00DC056B"/>
    <w:rsid w:val="00DC634E"/>
    <w:rsid w:val="00DC78AB"/>
    <w:rsid w:val="00DD5251"/>
    <w:rsid w:val="00DF685F"/>
    <w:rsid w:val="00E01A84"/>
    <w:rsid w:val="00E13EF7"/>
    <w:rsid w:val="00E1742D"/>
    <w:rsid w:val="00E24EAA"/>
    <w:rsid w:val="00E34058"/>
    <w:rsid w:val="00E41CA3"/>
    <w:rsid w:val="00E44C98"/>
    <w:rsid w:val="00E463DD"/>
    <w:rsid w:val="00E57845"/>
    <w:rsid w:val="00E57D5B"/>
    <w:rsid w:val="00E755FC"/>
    <w:rsid w:val="00E8426B"/>
    <w:rsid w:val="00E84C47"/>
    <w:rsid w:val="00E85709"/>
    <w:rsid w:val="00EA3AE0"/>
    <w:rsid w:val="00EA5985"/>
    <w:rsid w:val="00EA7E1C"/>
    <w:rsid w:val="00EB0E71"/>
    <w:rsid w:val="00EB4C3D"/>
    <w:rsid w:val="00EB65D6"/>
    <w:rsid w:val="00EC0AF8"/>
    <w:rsid w:val="00EC68D3"/>
    <w:rsid w:val="00EC74DC"/>
    <w:rsid w:val="00ED214D"/>
    <w:rsid w:val="00ED5607"/>
    <w:rsid w:val="00ED6949"/>
    <w:rsid w:val="00EE16A2"/>
    <w:rsid w:val="00EF269F"/>
    <w:rsid w:val="00EF2B73"/>
    <w:rsid w:val="00F078C6"/>
    <w:rsid w:val="00F07E67"/>
    <w:rsid w:val="00F1261E"/>
    <w:rsid w:val="00F1592D"/>
    <w:rsid w:val="00F226C2"/>
    <w:rsid w:val="00F25C27"/>
    <w:rsid w:val="00F27592"/>
    <w:rsid w:val="00F32D72"/>
    <w:rsid w:val="00F36340"/>
    <w:rsid w:val="00F44AE4"/>
    <w:rsid w:val="00F4637B"/>
    <w:rsid w:val="00F504E9"/>
    <w:rsid w:val="00F520DE"/>
    <w:rsid w:val="00F52937"/>
    <w:rsid w:val="00F54E45"/>
    <w:rsid w:val="00F55D2A"/>
    <w:rsid w:val="00F63449"/>
    <w:rsid w:val="00F63582"/>
    <w:rsid w:val="00F71081"/>
    <w:rsid w:val="00F759F5"/>
    <w:rsid w:val="00F773B3"/>
    <w:rsid w:val="00F77AF6"/>
    <w:rsid w:val="00F80F9C"/>
    <w:rsid w:val="00F900CC"/>
    <w:rsid w:val="00F914F8"/>
    <w:rsid w:val="00F91CE0"/>
    <w:rsid w:val="00F92481"/>
    <w:rsid w:val="00F94543"/>
    <w:rsid w:val="00F96109"/>
    <w:rsid w:val="00F9705F"/>
    <w:rsid w:val="00FB1377"/>
    <w:rsid w:val="00FC1BD7"/>
    <w:rsid w:val="00FC31AB"/>
    <w:rsid w:val="00FC71EF"/>
    <w:rsid w:val="00FD101E"/>
    <w:rsid w:val="00FD1078"/>
    <w:rsid w:val="00FD1900"/>
    <w:rsid w:val="00FD1EA9"/>
    <w:rsid w:val="00FD20A9"/>
    <w:rsid w:val="00FD6052"/>
    <w:rsid w:val="00FE1004"/>
    <w:rsid w:val="00FE218B"/>
    <w:rsid w:val="00FE5AAB"/>
    <w:rsid w:val="00FF063E"/>
    <w:rsid w:val="00FF2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B6ADD"/>
  <w15:docId w15:val="{B5C0F942-70A6-47FA-A268-3CA62DC8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DB7"/>
    <w:pPr>
      <w:outlineLvl w:val="0"/>
    </w:pPr>
    <w:rPr>
      <w:rFonts w:ascii="Garamond" w:hAnsi="Garamond"/>
      <w:b/>
      <w:color w:val="000000" w:themeColor="text1"/>
    </w:rPr>
  </w:style>
  <w:style w:type="paragraph" w:styleId="Heading2">
    <w:name w:val="heading 2"/>
    <w:basedOn w:val="Heading1"/>
    <w:next w:val="Normal"/>
    <w:link w:val="Heading2Char"/>
    <w:uiPriority w:val="9"/>
    <w:unhideWhenUsed/>
    <w:qFormat/>
    <w:rsid w:val="00A03DB7"/>
    <w:pPr>
      <w:outlineLvl w:val="1"/>
    </w:pPr>
  </w:style>
  <w:style w:type="paragraph" w:styleId="Heading3">
    <w:name w:val="heading 3"/>
    <w:basedOn w:val="Heading2"/>
    <w:next w:val="Normal"/>
    <w:link w:val="Heading3Char"/>
    <w:uiPriority w:val="9"/>
    <w:unhideWhenUsed/>
    <w:qFormat/>
    <w:rsid w:val="00A03DB7"/>
    <w:pPr>
      <w:outlineLvl w:val="2"/>
    </w:pPr>
  </w:style>
  <w:style w:type="paragraph" w:styleId="Heading4">
    <w:name w:val="heading 4"/>
    <w:basedOn w:val="Normal"/>
    <w:next w:val="Normal"/>
    <w:link w:val="Heading4Char"/>
    <w:uiPriority w:val="9"/>
    <w:unhideWhenUsed/>
    <w:qFormat/>
    <w:rsid w:val="008F523A"/>
    <w:pPr>
      <w:outlineLvl w:val="3"/>
    </w:pPr>
    <w:rPr>
      <w:rFonts w:ascii="Garamond" w:hAnsi="Garamon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8FF"/>
    <w:pPr>
      <w:tabs>
        <w:tab w:val="center" w:pos="4680"/>
        <w:tab w:val="right" w:pos="9360"/>
      </w:tabs>
    </w:pPr>
  </w:style>
  <w:style w:type="character" w:customStyle="1" w:styleId="HeaderChar">
    <w:name w:val="Header Char"/>
    <w:basedOn w:val="DefaultParagraphFont"/>
    <w:link w:val="Header"/>
    <w:uiPriority w:val="99"/>
    <w:rsid w:val="003428FF"/>
  </w:style>
  <w:style w:type="paragraph" w:styleId="Footer">
    <w:name w:val="footer"/>
    <w:basedOn w:val="Normal"/>
    <w:link w:val="FooterChar"/>
    <w:uiPriority w:val="99"/>
    <w:unhideWhenUsed/>
    <w:rsid w:val="003428FF"/>
    <w:pPr>
      <w:tabs>
        <w:tab w:val="center" w:pos="4680"/>
        <w:tab w:val="right" w:pos="9360"/>
      </w:tabs>
    </w:pPr>
  </w:style>
  <w:style w:type="character" w:customStyle="1" w:styleId="FooterChar">
    <w:name w:val="Footer Char"/>
    <w:basedOn w:val="DefaultParagraphFont"/>
    <w:link w:val="Footer"/>
    <w:uiPriority w:val="99"/>
    <w:rsid w:val="003428FF"/>
  </w:style>
  <w:style w:type="paragraph" w:styleId="ListParagraph">
    <w:name w:val="List Paragraph"/>
    <w:basedOn w:val="Normal"/>
    <w:uiPriority w:val="34"/>
    <w:qFormat/>
    <w:rsid w:val="007C73EC"/>
    <w:pPr>
      <w:ind w:left="720"/>
      <w:contextualSpacing/>
    </w:pPr>
  </w:style>
  <w:style w:type="character" w:styleId="CommentReference">
    <w:name w:val="annotation reference"/>
    <w:basedOn w:val="DefaultParagraphFont"/>
    <w:uiPriority w:val="99"/>
    <w:semiHidden/>
    <w:unhideWhenUsed/>
    <w:rsid w:val="007C73EC"/>
    <w:rPr>
      <w:sz w:val="18"/>
      <w:szCs w:val="18"/>
    </w:rPr>
  </w:style>
  <w:style w:type="paragraph" w:styleId="CommentText">
    <w:name w:val="annotation text"/>
    <w:basedOn w:val="Normal"/>
    <w:link w:val="CommentTextChar"/>
    <w:uiPriority w:val="99"/>
    <w:unhideWhenUsed/>
    <w:rsid w:val="007C73EC"/>
  </w:style>
  <w:style w:type="character" w:customStyle="1" w:styleId="CommentTextChar">
    <w:name w:val="Comment Text Char"/>
    <w:basedOn w:val="DefaultParagraphFont"/>
    <w:link w:val="CommentText"/>
    <w:uiPriority w:val="99"/>
    <w:rsid w:val="007C73EC"/>
  </w:style>
  <w:style w:type="paragraph" w:styleId="BalloonText">
    <w:name w:val="Balloon Text"/>
    <w:basedOn w:val="Normal"/>
    <w:link w:val="BalloonTextChar"/>
    <w:uiPriority w:val="99"/>
    <w:semiHidden/>
    <w:unhideWhenUsed/>
    <w:rsid w:val="007C73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73E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42C0D"/>
    <w:rPr>
      <w:b/>
      <w:bCs/>
      <w:sz w:val="20"/>
      <w:szCs w:val="20"/>
    </w:rPr>
  </w:style>
  <w:style w:type="character" w:customStyle="1" w:styleId="CommentSubjectChar">
    <w:name w:val="Comment Subject Char"/>
    <w:basedOn w:val="CommentTextChar"/>
    <w:link w:val="CommentSubject"/>
    <w:uiPriority w:val="99"/>
    <w:semiHidden/>
    <w:rsid w:val="00842C0D"/>
    <w:rPr>
      <w:b/>
      <w:bCs/>
      <w:sz w:val="20"/>
      <w:szCs w:val="20"/>
    </w:rPr>
  </w:style>
  <w:style w:type="character" w:styleId="Hyperlink">
    <w:name w:val="Hyperlink"/>
    <w:basedOn w:val="DefaultParagraphFont"/>
    <w:uiPriority w:val="99"/>
    <w:unhideWhenUsed/>
    <w:rsid w:val="00CA4615"/>
    <w:rPr>
      <w:color w:val="0563C1" w:themeColor="hyperlink"/>
      <w:u w:val="single"/>
    </w:rPr>
  </w:style>
  <w:style w:type="paragraph" w:styleId="FootnoteText">
    <w:name w:val="footnote text"/>
    <w:basedOn w:val="Normal"/>
    <w:link w:val="FootnoteTextChar"/>
    <w:uiPriority w:val="99"/>
    <w:unhideWhenUsed/>
    <w:rsid w:val="00415EFE"/>
    <w:rPr>
      <w:sz w:val="20"/>
      <w:szCs w:val="20"/>
    </w:rPr>
  </w:style>
  <w:style w:type="character" w:customStyle="1" w:styleId="FootnoteTextChar">
    <w:name w:val="Footnote Text Char"/>
    <w:basedOn w:val="DefaultParagraphFont"/>
    <w:link w:val="FootnoteText"/>
    <w:uiPriority w:val="99"/>
    <w:rsid w:val="00415EFE"/>
    <w:rPr>
      <w:sz w:val="20"/>
      <w:szCs w:val="20"/>
    </w:rPr>
  </w:style>
  <w:style w:type="paragraph" w:styleId="Revision">
    <w:name w:val="Revision"/>
    <w:hidden/>
    <w:uiPriority w:val="99"/>
    <w:semiHidden/>
    <w:rsid w:val="00A66C1B"/>
  </w:style>
  <w:style w:type="character" w:styleId="FollowedHyperlink">
    <w:name w:val="FollowedHyperlink"/>
    <w:basedOn w:val="DefaultParagraphFont"/>
    <w:uiPriority w:val="99"/>
    <w:semiHidden/>
    <w:unhideWhenUsed/>
    <w:rsid w:val="00A919AF"/>
    <w:rPr>
      <w:color w:val="954F72" w:themeColor="followedHyperlink"/>
      <w:u w:val="single"/>
    </w:rPr>
  </w:style>
  <w:style w:type="table" w:styleId="TableGrid">
    <w:name w:val="Table Grid"/>
    <w:basedOn w:val="TableNormal"/>
    <w:uiPriority w:val="39"/>
    <w:unhideWhenUsed/>
    <w:rsid w:val="00235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650DFE"/>
    <w:rPr>
      <w:vertAlign w:val="superscript"/>
    </w:rPr>
  </w:style>
  <w:style w:type="character" w:customStyle="1" w:styleId="UnresolvedMention1">
    <w:name w:val="Unresolved Mention1"/>
    <w:basedOn w:val="DefaultParagraphFont"/>
    <w:uiPriority w:val="99"/>
    <w:semiHidden/>
    <w:unhideWhenUsed/>
    <w:rsid w:val="00970753"/>
    <w:rPr>
      <w:color w:val="808080"/>
      <w:shd w:val="clear" w:color="auto" w:fill="E6E6E6"/>
    </w:rPr>
  </w:style>
  <w:style w:type="character" w:customStyle="1" w:styleId="UnresolvedMention2">
    <w:name w:val="Unresolved Mention2"/>
    <w:basedOn w:val="DefaultParagraphFont"/>
    <w:uiPriority w:val="99"/>
    <w:semiHidden/>
    <w:unhideWhenUsed/>
    <w:rsid w:val="00F9705F"/>
    <w:rPr>
      <w:color w:val="808080"/>
      <w:shd w:val="clear" w:color="auto" w:fill="E6E6E6"/>
    </w:rPr>
  </w:style>
  <w:style w:type="character" w:customStyle="1" w:styleId="apple-converted-space">
    <w:name w:val="apple-converted-space"/>
    <w:basedOn w:val="DefaultParagraphFont"/>
    <w:rsid w:val="00F9705F"/>
  </w:style>
  <w:style w:type="character" w:customStyle="1" w:styleId="UnresolvedMention3">
    <w:name w:val="Unresolved Mention3"/>
    <w:basedOn w:val="DefaultParagraphFont"/>
    <w:uiPriority w:val="99"/>
    <w:semiHidden/>
    <w:unhideWhenUsed/>
    <w:rsid w:val="00853953"/>
    <w:rPr>
      <w:color w:val="808080"/>
      <w:shd w:val="clear" w:color="auto" w:fill="E6E6E6"/>
    </w:rPr>
  </w:style>
  <w:style w:type="paragraph" w:styleId="NoSpacing">
    <w:name w:val="No Spacing"/>
    <w:uiPriority w:val="1"/>
    <w:qFormat/>
    <w:rsid w:val="00734315"/>
    <w:rPr>
      <w:sz w:val="22"/>
      <w:szCs w:val="22"/>
    </w:rPr>
  </w:style>
  <w:style w:type="paragraph" w:styleId="NormalWeb">
    <w:name w:val="Normal (Web)"/>
    <w:basedOn w:val="Normal"/>
    <w:uiPriority w:val="99"/>
    <w:unhideWhenUsed/>
    <w:rsid w:val="00EB0E71"/>
    <w:pPr>
      <w:spacing w:before="100" w:beforeAutospacing="1" w:after="100" w:afterAutospacing="1"/>
    </w:pPr>
    <w:rPr>
      <w:rFonts w:ascii="Times New Roman" w:hAnsi="Times New Roman" w:cs="Times New Roman"/>
    </w:rPr>
  </w:style>
  <w:style w:type="paragraph" w:styleId="EndnoteText">
    <w:name w:val="endnote text"/>
    <w:basedOn w:val="Normal"/>
    <w:link w:val="EndnoteTextChar"/>
    <w:uiPriority w:val="99"/>
    <w:semiHidden/>
    <w:unhideWhenUsed/>
    <w:rsid w:val="00EB0E71"/>
    <w:rPr>
      <w:sz w:val="20"/>
      <w:szCs w:val="20"/>
    </w:rPr>
  </w:style>
  <w:style w:type="character" w:customStyle="1" w:styleId="EndnoteTextChar">
    <w:name w:val="Endnote Text Char"/>
    <w:basedOn w:val="DefaultParagraphFont"/>
    <w:link w:val="EndnoteText"/>
    <w:uiPriority w:val="99"/>
    <w:semiHidden/>
    <w:rsid w:val="00EB0E71"/>
    <w:rPr>
      <w:sz w:val="20"/>
      <w:szCs w:val="20"/>
    </w:rPr>
  </w:style>
  <w:style w:type="character" w:styleId="EndnoteReference">
    <w:name w:val="endnote reference"/>
    <w:basedOn w:val="DefaultParagraphFont"/>
    <w:uiPriority w:val="99"/>
    <w:semiHidden/>
    <w:unhideWhenUsed/>
    <w:rsid w:val="00EB0E71"/>
    <w:rPr>
      <w:vertAlign w:val="superscript"/>
    </w:rPr>
  </w:style>
  <w:style w:type="character" w:customStyle="1" w:styleId="UnresolvedMention4">
    <w:name w:val="Unresolved Mention4"/>
    <w:basedOn w:val="DefaultParagraphFont"/>
    <w:uiPriority w:val="99"/>
    <w:rsid w:val="00EB0E71"/>
    <w:rPr>
      <w:color w:val="808080"/>
      <w:shd w:val="clear" w:color="auto" w:fill="E6E6E6"/>
    </w:rPr>
  </w:style>
  <w:style w:type="paragraph" w:styleId="Caption">
    <w:name w:val="caption"/>
    <w:basedOn w:val="Normal"/>
    <w:next w:val="Normal"/>
    <w:uiPriority w:val="35"/>
    <w:unhideWhenUsed/>
    <w:qFormat/>
    <w:rsid w:val="00975DFD"/>
    <w:pPr>
      <w:spacing w:after="200"/>
    </w:pPr>
    <w:rPr>
      <w:b/>
      <w:bCs/>
      <w:color w:val="4472C4" w:themeColor="accent1"/>
      <w:sz w:val="18"/>
      <w:szCs w:val="18"/>
    </w:rPr>
  </w:style>
  <w:style w:type="character" w:customStyle="1" w:styleId="Heading1Char">
    <w:name w:val="Heading 1 Char"/>
    <w:basedOn w:val="DefaultParagraphFont"/>
    <w:link w:val="Heading1"/>
    <w:uiPriority w:val="9"/>
    <w:rsid w:val="00A03DB7"/>
    <w:rPr>
      <w:rFonts w:ascii="Garamond" w:hAnsi="Garamond"/>
      <w:b/>
      <w:color w:val="000000" w:themeColor="text1"/>
    </w:rPr>
  </w:style>
  <w:style w:type="character" w:customStyle="1" w:styleId="Heading2Char">
    <w:name w:val="Heading 2 Char"/>
    <w:basedOn w:val="DefaultParagraphFont"/>
    <w:link w:val="Heading2"/>
    <w:uiPriority w:val="9"/>
    <w:rsid w:val="00A03DB7"/>
    <w:rPr>
      <w:rFonts w:ascii="Garamond" w:hAnsi="Garamond"/>
      <w:b/>
      <w:color w:val="000000" w:themeColor="text1"/>
    </w:rPr>
  </w:style>
  <w:style w:type="character" w:customStyle="1" w:styleId="Heading3Char">
    <w:name w:val="Heading 3 Char"/>
    <w:basedOn w:val="DefaultParagraphFont"/>
    <w:link w:val="Heading3"/>
    <w:uiPriority w:val="9"/>
    <w:rsid w:val="00A03DB7"/>
    <w:rPr>
      <w:rFonts w:ascii="Garamond" w:hAnsi="Garamond"/>
      <w:b/>
      <w:color w:val="000000" w:themeColor="text1"/>
    </w:rPr>
  </w:style>
  <w:style w:type="character" w:customStyle="1" w:styleId="Heading4Char">
    <w:name w:val="Heading 4 Char"/>
    <w:basedOn w:val="DefaultParagraphFont"/>
    <w:link w:val="Heading4"/>
    <w:uiPriority w:val="9"/>
    <w:rsid w:val="008F523A"/>
    <w:rPr>
      <w:rFonts w:ascii="Garamond" w:hAnsi="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6624">
      <w:bodyDiv w:val="1"/>
      <w:marLeft w:val="0"/>
      <w:marRight w:val="0"/>
      <w:marTop w:val="0"/>
      <w:marBottom w:val="0"/>
      <w:divBdr>
        <w:top w:val="none" w:sz="0" w:space="0" w:color="auto"/>
        <w:left w:val="none" w:sz="0" w:space="0" w:color="auto"/>
        <w:bottom w:val="none" w:sz="0" w:space="0" w:color="auto"/>
        <w:right w:val="none" w:sz="0" w:space="0" w:color="auto"/>
      </w:divBdr>
    </w:div>
    <w:div w:id="1174104268">
      <w:bodyDiv w:val="1"/>
      <w:marLeft w:val="0"/>
      <w:marRight w:val="0"/>
      <w:marTop w:val="0"/>
      <w:marBottom w:val="0"/>
      <w:divBdr>
        <w:top w:val="none" w:sz="0" w:space="0" w:color="auto"/>
        <w:left w:val="none" w:sz="0" w:space="0" w:color="auto"/>
        <w:bottom w:val="none" w:sz="0" w:space="0" w:color="auto"/>
        <w:right w:val="none" w:sz="0" w:space="0" w:color="auto"/>
      </w:divBdr>
    </w:div>
    <w:div w:id="1585336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sa.gov/real-estate/design-construction/architecture-engineering/facilities-standards-p100-overview" TargetMode="External"/><Relationship Id="rId18" Type="http://schemas.openxmlformats.org/officeDocument/2006/relationships/image" Target="media/image2.tmp"/><Relationship Id="rId26" Type="http://schemas.openxmlformats.org/officeDocument/2006/relationships/package" Target="embeddings/Microsoft_Excel_Worksheet.xlsx"/><Relationship Id="rId39" Type="http://schemas.openxmlformats.org/officeDocument/2006/relationships/hyperlink" Target="https://nems.nih.gov/teams/Pages/2016%20Webpage%20Content%20Archives/Health-in-Buildings-Roundtable.aspx" TargetMode="External"/><Relationship Id="rId21" Type="http://schemas.openxmlformats.org/officeDocument/2006/relationships/image" Target="media/image4.png"/><Relationship Id="rId34" Type="http://schemas.openxmlformats.org/officeDocument/2006/relationships/hyperlink" Target="https://en.wikipedia.org/wiki/Sustainable_return_on_investment" TargetMode="External"/><Relationship Id="rId42" Type="http://schemas.openxmlformats.org/officeDocument/2006/relationships/hyperlink" Target="https://www.ncbi.nlm.nih.gov/pmc/articles/PMC1817696/" TargetMode="External"/><Relationship Id="rId47" Type="http://schemas.openxmlformats.org/officeDocument/2006/relationships/hyperlink" Target="https://doi.org/10.1016/j.buildenv.2005.07.012" TargetMode="External"/><Relationship Id="rId50" Type="http://schemas.openxmlformats.org/officeDocument/2006/relationships/hyperlink" Target="https://aspe.hhs.gov/system/files/pdf/76606/rpt.pdf" TargetMode="External"/><Relationship Id="rId55" Type="http://schemas.openxmlformats.org/officeDocument/2006/relationships/hyperlink" Target="https://www.gsa.gov/real-estate/facilities-management/tenant-services/health-and-wellness/consider-the-stairs" TargetMode="External"/><Relationship Id="rId63" Type="http://schemas.openxmlformats.org/officeDocument/2006/relationships/hyperlink" Target="https://doi.org/10.17226/18710"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shrae.org/greenstandard" TargetMode="Externa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llcertified.com/" TargetMode="External"/><Relationship Id="rId24" Type="http://schemas.openxmlformats.org/officeDocument/2006/relationships/oleObject" Target="embeddings/oleObject1.bin"/><Relationship Id="rId32" Type="http://schemas.openxmlformats.org/officeDocument/2006/relationships/hyperlink" Target="https://info.aia.org/SiteObjects/files/IPD_Guide_2007.pdf" TargetMode="External"/><Relationship Id="rId37" Type="http://schemas.openxmlformats.org/officeDocument/2006/relationships/hyperlink" Target="https://dx.doi.org/10.1289%2Fehp.8988" TargetMode="External"/><Relationship Id="rId40" Type="http://schemas.openxmlformats.org/officeDocument/2006/relationships/hyperlink" Target="https://uli.org/wp-content/uploads/ULI-Documents/Intersections-Health-and-the-Built-Environment.pdf" TargetMode="External"/><Relationship Id="rId45" Type="http://schemas.openxmlformats.org/officeDocument/2006/relationships/hyperlink" Target="https://www.earthshiftglobal.com/docs/sroi-scenario-based-multi-criteria-assessment-tool-policy-japan.pdf" TargetMode="External"/><Relationship Id="rId53" Type="http://schemas.openxmlformats.org/officeDocument/2006/relationships/hyperlink" Target="http://dx.doi.org/10.1016/j.amepre.2009.07.003" TargetMode="External"/><Relationship Id="rId58" Type="http://schemas.openxmlformats.org/officeDocument/2006/relationships/hyperlink" Target="https://www.surgeongeneral.gov/library/calls/walking-and-walkable-communities/call-to-action-walking-and-walkable-communites.pdf"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sgbc.org" TargetMode="External"/><Relationship Id="rId23" Type="http://schemas.openxmlformats.org/officeDocument/2006/relationships/image" Target="media/image6.emf"/><Relationship Id="rId28" Type="http://schemas.openxmlformats.org/officeDocument/2006/relationships/oleObject" Target="embeddings/oleObject2.bin"/><Relationship Id="rId36" Type="http://schemas.openxmlformats.org/officeDocument/2006/relationships/hyperlink" Target="https://www.cce.ufl.edu/rethinking-sustainable-construction-2006/" TargetMode="External"/><Relationship Id="rId49" Type="http://schemas.openxmlformats.org/officeDocument/2006/relationships/hyperlink" Target="http://dx.doi.org/10.1016/j.amepre.2009.07.003" TargetMode="External"/><Relationship Id="rId57" Type="http://schemas.openxmlformats.org/officeDocument/2006/relationships/hyperlink" Target="https://doi.org/10.1136/oemed-2014-102678" TargetMode="External"/><Relationship Id="rId61" Type="http://schemas.openxmlformats.org/officeDocument/2006/relationships/hyperlink" Target="http://www.thehastingscenter.org/wp-content/uploads/SadleretalFableHospitalBusinessCase_HastingsJan111.pdf" TargetMode="External"/><Relationship Id="rId10" Type="http://schemas.openxmlformats.org/officeDocument/2006/relationships/hyperlink" Target="https://fitwel.org/" TargetMode="External"/><Relationship Id="rId19" Type="http://schemas.openxmlformats.org/officeDocument/2006/relationships/image" Target="media/image3.tmp"/><Relationship Id="rId31" Type="http://schemas.openxmlformats.org/officeDocument/2006/relationships/hyperlink" Target="https://www.usgbc.org/node/10241565?view=language" TargetMode="External"/><Relationship Id="rId44" Type="http://schemas.openxmlformats.org/officeDocument/2006/relationships/hyperlink" Target="http://americas.uli.org/wp-content/uploads/ULI-Documents/Building-for-Wellness-The-Business-Case.pdf" TargetMode="External"/><Relationship Id="rId52" Type="http://schemas.openxmlformats.org/officeDocument/2006/relationships/hyperlink" Target="https://www.gsa.gov/real-estate/facilities-management/tenant-services/concessions-and-cafeterias-healthy-food-in-the-federal-workplace" TargetMode="External"/><Relationship Id="rId60" Type="http://schemas.openxmlformats.org/officeDocument/2006/relationships/hyperlink" Target="https://archive.ahrq.gov/professionals/systems/hospital/hospbuilt/hospenv.pdf"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ergy.gov/eere/femp/guiding-principles-sustainable-federal-buildings" TargetMode="External"/><Relationship Id="rId14" Type="http://schemas.openxmlformats.org/officeDocument/2006/relationships/hyperlink" Target="http://www.thegbi.org" TargetMode="External"/><Relationship Id="rId22" Type="http://schemas.openxmlformats.org/officeDocument/2006/relationships/image" Target="media/image5.png"/><Relationship Id="rId27" Type="http://schemas.openxmlformats.org/officeDocument/2006/relationships/image" Target="media/image8.emf"/><Relationship Id="rId30" Type="http://schemas.openxmlformats.org/officeDocument/2006/relationships/oleObject" Target="embeddings/oleObject3.bin"/><Relationship Id="rId35" Type="http://schemas.openxmlformats.org/officeDocument/2006/relationships/hyperlink" Target="https://www.construction.com/toolkit/reports/drive-toward-healthier-buildings" TargetMode="External"/><Relationship Id="rId43" Type="http://schemas.openxmlformats.org/officeDocument/2006/relationships/hyperlink" Target="https://www.cce.ufl.edu/rethinking-sustainable-construction-2006/" TargetMode="External"/><Relationship Id="rId48" Type="http://schemas.openxmlformats.org/officeDocument/2006/relationships/hyperlink" Target="http://www.thehastingscenter.org/wp-content/uploads/SadleretalFableHospitalBusinessCase_HastingsJan111.pdf" TargetMode="External"/><Relationship Id="rId56" Type="http://schemas.openxmlformats.org/officeDocument/2006/relationships/hyperlink" Target="https://smartgrowthamerica.org/resources/foot-traffic-ahead-2016/" TargetMode="External"/><Relationship Id="rId64" Type="http://schemas.openxmlformats.org/officeDocument/2006/relationships/hyperlink" Target="https://healthybuilding.net/uploads/files/toxic-chemicals-in-building-materials.pdf" TargetMode="External"/><Relationship Id="rId8" Type="http://schemas.openxmlformats.org/officeDocument/2006/relationships/hyperlink" Target="https://www.gsa.gov/about-us/organization/office-of-governmentwide-policy/office-of-federal-highperformance-buildings/green-building-advisory-committee/advice-letters-and-resolutions" TargetMode="External"/><Relationship Id="rId51" Type="http://schemas.openxmlformats.org/officeDocument/2006/relationships/hyperlink" Target="https://www.gsa.gov/cdnstatic/guidelines_for_federal_concessions_and_vending_operations_corrected_version.pdf" TargetMode="External"/><Relationship Id="rId3" Type="http://schemas.openxmlformats.org/officeDocument/2006/relationships/styles" Target="styles.xml"/><Relationship Id="rId12" Type="http://schemas.openxmlformats.org/officeDocument/2006/relationships/hyperlink" Target="http://www.wbdg.org/FFC/DOD/UFC/ufc_1_200_02_2016.pdf" TargetMode="External"/><Relationship Id="rId17" Type="http://schemas.openxmlformats.org/officeDocument/2006/relationships/image" Target="media/image1.tmp"/><Relationship Id="rId25" Type="http://schemas.openxmlformats.org/officeDocument/2006/relationships/image" Target="media/image7.emf"/><Relationship Id="rId33" Type="http://schemas.openxmlformats.org/officeDocument/2006/relationships/hyperlink" Target="https://en.wikipedia.org/wiki/Social_return_on_investment" TargetMode="External"/><Relationship Id="rId38" Type="http://schemas.openxmlformats.org/officeDocument/2006/relationships/hyperlink" Target="https://buildinggreen.com/downloads" TargetMode="External"/><Relationship Id="rId46" Type="http://schemas.openxmlformats.org/officeDocument/2006/relationships/hyperlink" Target="https://www.pps.org/wp-content/uploads/2016/12/Healthy-Places-PPS.pdf" TargetMode="External"/><Relationship Id="rId59" Type="http://schemas.openxmlformats.org/officeDocument/2006/relationships/hyperlink" Target="https://www.gsa.gov/real-estate/facilities-management/tenant-services/health-and-wellness/lactation-space-support" TargetMode="External"/><Relationship Id="rId67" Type="http://schemas.openxmlformats.org/officeDocument/2006/relationships/fontTable" Target="fontTable.xml"/><Relationship Id="rId20" Type="http://schemas.openxmlformats.org/officeDocument/2006/relationships/hyperlink" Target="https://www.gsa.gov/about-us/organization/office-of-governmentwide-policy/office-of-federal-highperformance-buildings/green-building-advisory-committee/advice-letters-and-resolutions" TargetMode="External"/><Relationship Id="rId41" Type="http://schemas.openxmlformats.org/officeDocument/2006/relationships/hyperlink" Target="http://www.worldgbc.org/sites/default/files/WGBC_BtBC_Dec2016_Digital_Low-MAY24_0.pdf" TargetMode="External"/><Relationship Id="rId54" Type="http://schemas.openxmlformats.org/officeDocument/2006/relationships/hyperlink" Target="https://content.iospress.com/articles/work/wor2483" TargetMode="External"/><Relationship Id="rId62" Type="http://schemas.openxmlformats.org/officeDocument/2006/relationships/hyperlink" Target="https://www.gpo.gov/fdsys/pkg/CHRG-111hhrg76011/pdf/CHRG-111hhrg7601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Sustainable_return_on_investment" TargetMode="External"/><Relationship Id="rId3" Type="http://schemas.openxmlformats.org/officeDocument/2006/relationships/hyperlink" Target="https://www.rand.org/randeurope/research/projects/the-value-of-the-sleep-economy.html" TargetMode="External"/><Relationship Id="rId7" Type="http://schemas.openxmlformats.org/officeDocument/2006/relationships/hyperlink" Target="https://www.construction.com/toolkit/reports/drive-toward-healthier-buildings" TargetMode="External"/><Relationship Id="rId2" Type="http://schemas.openxmlformats.org/officeDocument/2006/relationships/hyperlink" Target="https://www.ncbi.nlm.nih.gov/pubmed/28526259" TargetMode="External"/><Relationship Id="rId1" Type="http://schemas.openxmlformats.org/officeDocument/2006/relationships/hyperlink" Target="http://onlinelibrary.wiley.com/doi/10.1111/j.1600-0668.1997.t01-1-00002.x/abstract" TargetMode="External"/><Relationship Id="rId6" Type="http://schemas.openxmlformats.org/officeDocument/2006/relationships/hyperlink" Target="https://www.bls.gov/cps/cpsaat47.htm" TargetMode="External"/><Relationship Id="rId5" Type="http://schemas.openxmlformats.org/officeDocument/2006/relationships/hyperlink" Target="https://www.cbo.gov/publication/52706" TargetMode="External"/><Relationship Id="rId4" Type="http://schemas.openxmlformats.org/officeDocument/2006/relationships/hyperlink" Target="https://iaqscience.lb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FCBBC4-DE40-4A44-8B38-E72BCB5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23</Pages>
  <Words>9180</Words>
  <Characters>57196</Characters>
  <Application>Microsoft Office Word</Application>
  <DocSecurity>0</DocSecurity>
  <Lines>969</Lines>
  <Paragraphs>269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Garvin</dc:creator>
  <cp:lastModifiedBy>Maples, Amy</cp:lastModifiedBy>
  <cp:revision>13</cp:revision>
  <cp:lastPrinted>2017-09-28T15:08:00Z</cp:lastPrinted>
  <dcterms:created xsi:type="dcterms:W3CDTF">2017-12-13T22:00:00Z</dcterms:created>
  <dcterms:modified xsi:type="dcterms:W3CDTF">2017-12-17T21:00:00Z</dcterms:modified>
</cp:coreProperties>
</file>