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ANIMALS</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Guidance and Reporting Requirements for Animals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hyperlink r:id="rId6">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FMR 102-36</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does not stipulate special handling requirements for most animals, so the traditional disposal process typically applies.  However, optional methods exist for some species and may be exercised without GSA’s approval or involvement.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40 USC 1308</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addresses horses and mules.  These animals may be destroyed, but the agency has the option of putting its horses or mules “…out to pasture on a Government or private facility that is “financially sound and reputable.”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Canines are the subject of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41 CFR 102-36.365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regulations allows for direct donation to an individual “who has experience handling canines in the performance of those official duties.”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Rule="auto"/>
        <w:rPr>
          <w:vertAlign w:val="baseline"/>
        </w:rPr>
      </w:pPr>
      <w:r w:rsidDel="00000000" w:rsidR="00000000" w:rsidRPr="00000000">
        <w:rPr>
          <w:vertAlign w:val="baseline"/>
          <w:rtl w:val="0"/>
        </w:rPr>
        <w:t xml:space="preserve">Typical processes apply to the disposal of non-human primates, but transfer, donation, and sale documents must address appropriate uses of non-human primates per </w:t>
      </w:r>
      <w:hyperlink r:id="rId9">
        <w:r w:rsidDel="00000000" w:rsidR="00000000" w:rsidRPr="00000000">
          <w:rPr>
            <w:color w:val="0000ff"/>
            <w:u w:val="single"/>
            <w:vertAlign w:val="baseline"/>
            <w:rtl w:val="0"/>
          </w:rPr>
          <w:t xml:space="preserve">42 CFR 71</w:t>
        </w:r>
      </w:hyperlink>
      <w:r w:rsidDel="00000000" w:rsidR="00000000" w:rsidRPr="00000000">
        <w:rPr>
          <w:vertAlign w:val="baseline"/>
          <w:rtl w:val="0"/>
        </w:rPr>
        <w:t xml:space="preserve">:</w:t>
      </w:r>
    </w:p>
    <w:p w:rsidR="00000000" w:rsidDel="00000000" w:rsidP="00000000" w:rsidRDefault="00000000" w:rsidRPr="00000000" w14:paraId="0000000A">
      <w:pPr>
        <w:numPr>
          <w:ilvl w:val="1"/>
          <w:numId w:val="1"/>
        </w:numPr>
        <w:spacing w:after="0" w:lineRule="auto"/>
        <w:ind w:left="1440" w:hanging="360"/>
        <w:rPr/>
      </w:pPr>
      <w:r w:rsidDel="00000000" w:rsidR="00000000" w:rsidRPr="00000000">
        <w:rPr>
          <w:vertAlign w:val="baseline"/>
          <w:rtl w:val="0"/>
        </w:rPr>
        <w:t xml:space="preserve">Scientific Research</w:t>
      </w:r>
    </w:p>
    <w:p w:rsidR="00000000" w:rsidDel="00000000" w:rsidP="00000000" w:rsidRDefault="00000000" w:rsidRPr="00000000" w14:paraId="0000000B">
      <w:pPr>
        <w:numPr>
          <w:ilvl w:val="1"/>
          <w:numId w:val="1"/>
        </w:numPr>
        <w:spacing w:after="0" w:lineRule="auto"/>
        <w:ind w:left="1440" w:hanging="360"/>
        <w:rPr/>
      </w:pPr>
      <w:r w:rsidDel="00000000" w:rsidR="00000000" w:rsidRPr="00000000">
        <w:rPr>
          <w:vertAlign w:val="baseline"/>
          <w:rtl w:val="0"/>
        </w:rPr>
        <w:t xml:space="preserve">Education</w:t>
      </w:r>
    </w:p>
    <w:p w:rsidR="00000000" w:rsidDel="00000000" w:rsidP="00000000" w:rsidRDefault="00000000" w:rsidRPr="00000000" w14:paraId="0000000C">
      <w:pPr>
        <w:numPr>
          <w:ilvl w:val="1"/>
          <w:numId w:val="1"/>
        </w:numPr>
        <w:spacing w:after="0" w:lineRule="auto"/>
        <w:ind w:left="1440" w:hanging="360"/>
        <w:rPr/>
      </w:pPr>
      <w:r w:rsidDel="00000000" w:rsidR="00000000" w:rsidRPr="00000000">
        <w:rPr>
          <w:vertAlign w:val="baseline"/>
          <w:rtl w:val="0"/>
        </w:rPr>
        <w:t xml:space="preserve">Exhibition</w:t>
      </w:r>
    </w:p>
    <w:p w:rsidR="00000000" w:rsidDel="00000000" w:rsidP="00000000" w:rsidRDefault="00000000" w:rsidRPr="00000000" w14:paraId="0000000D">
      <w:pPr>
        <w:spacing w:after="0" w:lineRule="auto"/>
        <w:ind w:left="1440"/>
        <w:rPr>
          <w:vertAlign w:val="baseline"/>
        </w:rPr>
      </w:pPr>
      <w:r w:rsidDel="00000000" w:rsidR="00000000" w:rsidRPr="00000000">
        <w:rPr>
          <w:rtl w:val="0"/>
        </w:rPr>
      </w:r>
    </w:p>
    <w:p w:rsidR="00000000" w:rsidDel="00000000" w:rsidP="00000000" w:rsidRDefault="00000000" w:rsidRPr="00000000" w14:paraId="0000000E">
      <w:pPr>
        <w:spacing w:after="0" w:lineRule="auto"/>
        <w:rPr>
          <w:vertAlign w:val="baseline"/>
        </w:rPr>
      </w:pPr>
      <w:r w:rsidDel="00000000" w:rsidR="00000000" w:rsidRPr="00000000">
        <w:rPr>
          <w:vertAlign w:val="baseline"/>
          <w:rtl w:val="0"/>
        </w:rPr>
        <w:t xml:space="preserve">Given the limited applications for animals, sale is the typical outcome.  In the interest of minimizing administrative costs while targeting a specialized purchaser base, GSA favors negotiated sales.  </w:t>
      </w:r>
    </w:p>
    <w:p w:rsidR="00000000" w:rsidDel="00000000" w:rsidP="00000000" w:rsidRDefault="00000000" w:rsidRPr="00000000" w14:paraId="0000000F">
      <w:pPr>
        <w:spacing w:after="0" w:lineRule="auto"/>
        <w:ind w:left="-90"/>
        <w:rPr>
          <w:vertAlign w:val="baseline"/>
        </w:rPr>
      </w:pPr>
      <w:r w:rsidDel="00000000" w:rsidR="00000000" w:rsidRPr="00000000">
        <w:rPr>
          <w:rtl w:val="0"/>
        </w:rPr>
      </w:r>
    </w:p>
    <w:p w:rsidR="00000000" w:rsidDel="00000000" w:rsidP="00000000" w:rsidRDefault="00000000" w:rsidRPr="00000000" w14:paraId="00000010">
      <w:pPr>
        <w:spacing w:after="0" w:lineRule="auto"/>
        <w:rPr>
          <w:vertAlign w:val="baseline"/>
        </w:rPr>
      </w:pPr>
      <w:r w:rsidDel="00000000" w:rsidR="00000000" w:rsidRPr="00000000">
        <w:rPr>
          <w:vertAlign w:val="baseline"/>
          <w:rtl w:val="0"/>
        </w:rPr>
        <w:t xml:space="preserve">Civilian agencies should report their excess animals to the GSA Mid-Atlantic Regional Office in Philadelphia.  </w:t>
      </w:r>
    </w:p>
    <w:p w:rsidR="00000000" w:rsidDel="00000000" w:rsidP="00000000" w:rsidRDefault="00000000" w:rsidRPr="00000000" w14:paraId="00000011">
      <w:pPr>
        <w:spacing w:after="0" w:lineRule="auto"/>
        <w:rPr>
          <w:vertAlign w:val="baseline"/>
        </w:rPr>
      </w:pPr>
      <w:r w:rsidDel="00000000" w:rsidR="00000000" w:rsidRPr="00000000">
        <w:rPr>
          <w:rtl w:val="0"/>
        </w:rPr>
      </w:r>
    </w:p>
    <w:p w:rsidR="00000000" w:rsidDel="00000000" w:rsidP="00000000" w:rsidRDefault="00000000" w:rsidRPr="00000000" w14:paraId="00000012">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Kevin O. Murphy</w:t>
      </w:r>
    </w:p>
    <w:p w:rsidR="00000000" w:rsidDel="00000000" w:rsidP="00000000" w:rsidRDefault="00000000" w:rsidRPr="00000000" w14:paraId="00000013">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U.S. General Services Administration</w:t>
      </w:r>
    </w:p>
    <w:p w:rsidR="00000000" w:rsidDel="00000000" w:rsidP="00000000" w:rsidRDefault="00000000" w:rsidRPr="00000000" w14:paraId="00000014">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Northern Property Manager</w:t>
      </w:r>
    </w:p>
    <w:p w:rsidR="00000000" w:rsidDel="00000000" w:rsidP="00000000" w:rsidRDefault="00000000" w:rsidRPr="00000000" w14:paraId="00000015">
      <w:pPr>
        <w:spacing w:after="0" w:lineRule="auto"/>
        <w:ind w:left="-90"/>
        <w:rPr>
          <w:rFonts w:ascii="Arial" w:cs="Arial" w:eastAsia="Arial" w:hAnsi="Arial"/>
          <w:color w:val="222222"/>
          <w:sz w:val="19"/>
          <w:szCs w:val="19"/>
        </w:rPr>
      </w:pPr>
      <w:r w:rsidDel="00000000" w:rsidR="00000000" w:rsidRPr="00000000">
        <w:rPr>
          <w:rFonts w:ascii="Arial" w:cs="Arial" w:eastAsia="Arial" w:hAnsi="Arial"/>
          <w:color w:val="222222"/>
          <w:rtl w:val="0"/>
        </w:rPr>
        <w:t xml:space="preserve">100 S Independence Mall West</w:t>
      </w:r>
      <w:r w:rsidDel="00000000" w:rsidR="00000000" w:rsidRPr="00000000">
        <w:rPr>
          <w:rtl w:val="0"/>
        </w:rPr>
      </w:r>
    </w:p>
    <w:p w:rsidR="00000000" w:rsidDel="00000000" w:rsidP="00000000" w:rsidRDefault="00000000" w:rsidRPr="00000000" w14:paraId="00000016">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Philadelphia, PA  19106</w:t>
      </w:r>
    </w:p>
    <w:p w:rsidR="00000000" w:rsidDel="00000000" w:rsidP="00000000" w:rsidRDefault="00000000" w:rsidRPr="00000000" w14:paraId="00000017">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Phone: 215-446-5841</w:t>
      </w:r>
    </w:p>
    <w:p w:rsidR="00000000" w:rsidDel="00000000" w:rsidP="00000000" w:rsidRDefault="00000000" w:rsidRPr="00000000" w14:paraId="00000018">
      <w:pPr>
        <w:spacing w:after="0" w:lineRule="auto"/>
        <w:ind w:left="-90"/>
        <w:rPr>
          <w:rFonts w:ascii="Arial" w:cs="Arial" w:eastAsia="Arial" w:hAnsi="Arial"/>
          <w:color w:val="222222"/>
        </w:rPr>
      </w:pPr>
      <w:r w:rsidDel="00000000" w:rsidR="00000000" w:rsidRPr="00000000">
        <w:rPr>
          <w:rFonts w:ascii="Arial" w:cs="Arial" w:eastAsia="Arial" w:hAnsi="Arial"/>
          <w:color w:val="222222"/>
          <w:rtl w:val="0"/>
        </w:rPr>
        <w:t xml:space="preserve">e-Fax:  215-829-2878 </w:t>
      </w:r>
    </w:p>
    <w:p w:rsidR="00000000" w:rsidDel="00000000" w:rsidP="00000000" w:rsidRDefault="00000000" w:rsidRPr="00000000" w14:paraId="00000019">
      <w:pPr>
        <w:spacing w:after="0" w:lineRule="auto"/>
        <w:ind w:left="-90"/>
        <w:rPr/>
      </w:pPr>
      <w:hyperlink r:id="rId10">
        <w:r w:rsidDel="00000000" w:rsidR="00000000" w:rsidRPr="00000000">
          <w:rPr>
            <w:color w:val="1155cc"/>
            <w:u w:val="single"/>
            <w:rtl w:val="0"/>
          </w:rPr>
          <w:t xml:space="preserve">kevin.murphy@gsa.gov</w:t>
        </w:r>
      </w:hyperlink>
      <w:r w:rsidDel="00000000" w:rsidR="00000000" w:rsidRPr="00000000">
        <w:rPr>
          <w:rtl w:val="0"/>
        </w:rPr>
      </w:r>
    </w:p>
    <w:p w:rsidR="00000000" w:rsidDel="00000000" w:rsidP="00000000" w:rsidRDefault="00000000" w:rsidRPr="00000000" w14:paraId="0000001A">
      <w:pPr>
        <w:spacing w:after="0" w:lineRule="auto"/>
        <w:ind w:left="-90"/>
        <w:rPr/>
      </w:pPr>
      <w:r w:rsidDel="00000000" w:rsidR="00000000" w:rsidRPr="00000000">
        <w:rPr>
          <w:rtl w:val="0"/>
        </w:rPr>
      </w:r>
    </w:p>
    <w:p w:rsidR="00000000" w:rsidDel="00000000" w:rsidP="00000000" w:rsidRDefault="00000000" w:rsidRPr="00000000" w14:paraId="0000001B">
      <w:pPr>
        <w:spacing w:after="0" w:lineRule="auto"/>
        <w:ind w:left="-9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Times New Roman" w:cs="Times New Roman" w:eastAsia="Times New Roman" w:hAnsi="Times New Roman"/>
        <w:vertAlign w:val="baseline"/>
      </w:rPr>
    </w:lvl>
    <w:lvl w:ilvl="3">
      <w:start w:val="1"/>
      <w:numFmt w:val="bullet"/>
      <w:lvlText w:val="•"/>
      <w:lvlJc w:val="left"/>
      <w:pPr>
        <w:ind w:left="2880" w:hanging="360"/>
      </w:pPr>
      <w:rPr>
        <w:rFonts w:ascii="Times New Roman" w:cs="Times New Roman" w:eastAsia="Times New Roman" w:hAnsi="Times New Roman"/>
        <w:vertAlign w:val="baseline"/>
      </w:rPr>
    </w:lvl>
    <w:lvl w:ilvl="4">
      <w:start w:val="1"/>
      <w:numFmt w:val="bullet"/>
      <w:lvlText w:val="•"/>
      <w:lvlJc w:val="left"/>
      <w:pPr>
        <w:ind w:left="3600" w:hanging="360"/>
      </w:pPr>
      <w:rPr>
        <w:rFonts w:ascii="Times New Roman" w:cs="Times New Roman" w:eastAsia="Times New Roman" w:hAnsi="Times New Roman"/>
        <w:vertAlign w:val="baseline"/>
      </w:rPr>
    </w:lvl>
    <w:lvl w:ilvl="5">
      <w:start w:val="1"/>
      <w:numFmt w:val="bullet"/>
      <w:lvlText w:val="•"/>
      <w:lvlJc w:val="left"/>
      <w:pPr>
        <w:ind w:left="4320" w:hanging="360"/>
      </w:pPr>
      <w:rPr>
        <w:rFonts w:ascii="Times New Roman" w:cs="Times New Roman" w:eastAsia="Times New Roman" w:hAnsi="Times New Roman"/>
        <w:vertAlign w:val="baseline"/>
      </w:rPr>
    </w:lvl>
    <w:lvl w:ilvl="6">
      <w:start w:val="1"/>
      <w:numFmt w:val="bullet"/>
      <w:lvlText w:val="•"/>
      <w:lvlJc w:val="left"/>
      <w:pPr>
        <w:ind w:left="5040" w:hanging="360"/>
      </w:pPr>
      <w:rPr>
        <w:rFonts w:ascii="Times New Roman" w:cs="Times New Roman" w:eastAsia="Times New Roman" w:hAnsi="Times New Roman"/>
        <w:vertAlign w:val="baseline"/>
      </w:rPr>
    </w:lvl>
    <w:lvl w:ilvl="7">
      <w:start w:val="1"/>
      <w:numFmt w:val="bullet"/>
      <w:lvlText w:val="•"/>
      <w:lvlJc w:val="left"/>
      <w:pPr>
        <w:ind w:left="5760" w:hanging="360"/>
      </w:pPr>
      <w:rPr>
        <w:rFonts w:ascii="Times New Roman" w:cs="Times New Roman" w:eastAsia="Times New Roman" w:hAnsi="Times New Roman"/>
        <w:vertAlign w:val="baseline"/>
      </w:rPr>
    </w:lvl>
    <w:lvl w:ilvl="8">
      <w:start w:val="1"/>
      <w:numFmt w:val="bullet"/>
      <w:lvlText w:val="•"/>
      <w:lvlJc w:val="left"/>
      <w:pPr>
        <w:ind w:left="6480" w:hanging="360"/>
      </w:pPr>
      <w:rPr>
        <w:rFonts w:ascii="Times New Roman" w:cs="Times New Roman" w:eastAsia="Times New Roman" w:hAnsi="Times New Roman"/>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kevin.murphy@gsa.gov" TargetMode="External"/><Relationship Id="rId9" Type="http://schemas.openxmlformats.org/officeDocument/2006/relationships/hyperlink" Target="https://www.law.cornell.edu/cfr/text/42/71.53" TargetMode="External"/><Relationship Id="rId5" Type="http://schemas.openxmlformats.org/officeDocument/2006/relationships/styles" Target="styles.xml"/><Relationship Id="rId6" Type="http://schemas.openxmlformats.org/officeDocument/2006/relationships/hyperlink" Target="https://www.gsa.gov/fmr-redirect/102/36" TargetMode="External"/><Relationship Id="rId7" Type="http://schemas.openxmlformats.org/officeDocument/2006/relationships/hyperlink" Target="http://www.law.cornell.edu/uscode/40/1308.html" TargetMode="External"/><Relationship Id="rId8" Type="http://schemas.openxmlformats.org/officeDocument/2006/relationships/hyperlink" Target="https://www.law.cornell.edu/cfr/text/41/102-36.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