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07EE" w:rsidRDefault="00CE7061">
      <w:pPr>
        <w:widowControl w:val="0"/>
        <w:pBdr>
          <w:top w:val="nil"/>
          <w:left w:val="nil"/>
          <w:bottom w:val="nil"/>
          <w:right w:val="nil"/>
          <w:between w:val="nil"/>
        </w:pBdr>
        <w:spacing w:before="302" w:line="240" w:lineRule="auto"/>
        <w:ind w:left="90" w:right="63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Brand Marketing Communications</w:t>
      </w:r>
    </w:p>
    <w:p w14:paraId="00000002" w14:textId="77777777" w:rsidR="002C07EE" w:rsidRDefault="00CE7061">
      <w:pPr>
        <w:widowControl w:val="0"/>
        <w:pBdr>
          <w:top w:val="nil"/>
          <w:left w:val="nil"/>
          <w:bottom w:val="nil"/>
          <w:right w:val="nil"/>
          <w:between w:val="nil"/>
        </w:pBdr>
        <w:spacing w:before="302" w:line="240" w:lineRule="auto"/>
        <w:ind w:left="90" w:right="630"/>
        <w:jc w:val="center"/>
        <w:rPr>
          <w:rFonts w:ascii="Times New Roman" w:eastAsia="Times New Roman" w:hAnsi="Times New Roman" w:cs="Times New Roman"/>
          <w:b/>
        </w:rPr>
      </w:pPr>
      <w:r>
        <w:rPr>
          <w:rFonts w:ascii="Times New Roman" w:eastAsia="Times New Roman" w:hAnsi="Times New Roman" w:cs="Times New Roman"/>
          <w:b/>
        </w:rPr>
        <w:t>Performance Work Statement</w:t>
      </w:r>
    </w:p>
    <w:p w14:paraId="00000003" w14:textId="77777777" w:rsidR="002C07EE" w:rsidRDefault="00CE7061">
      <w:pPr>
        <w:spacing w:line="240" w:lineRule="auto"/>
        <w:jc w:val="center"/>
        <w:rPr>
          <w:rFonts w:ascii="Times New Roman" w:eastAsia="Times New Roman" w:hAnsi="Times New Roman" w:cs="Times New Roman"/>
          <w:b/>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4" w14:textId="77777777" w:rsidR="002C07EE" w:rsidRDefault="00CE7061">
      <w:pPr>
        <w:widowControl w:val="0"/>
        <w:pBdr>
          <w:top w:val="nil"/>
          <w:left w:val="nil"/>
          <w:bottom w:val="nil"/>
          <w:right w:val="nil"/>
          <w:between w:val="nil"/>
        </w:pBdr>
        <w:spacing w:before="302" w:line="240" w:lineRule="auto"/>
        <w:ind w:left="90" w:right="6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Background </w:t>
      </w:r>
    </w:p>
    <w:p w14:paraId="00000005" w14:textId="77777777" w:rsidR="002C07EE" w:rsidRDefault="00CE7061">
      <w:pPr>
        <w:widowControl w:val="0"/>
        <w:pBdr>
          <w:top w:val="nil"/>
          <w:left w:val="nil"/>
          <w:bottom w:val="nil"/>
          <w:right w:val="nil"/>
          <w:between w:val="nil"/>
        </w:pBdr>
        <w:spacing w:before="312" w:line="240" w:lineRule="auto"/>
        <w:ind w:right="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mission of the United States Department of Agriculture (USDA) Agricultural Research Service (ARS) National Program in Human Nutrition (NPHN) is to conduct basic and applied research to identify and understand how nutrients and other </w:t>
      </w:r>
      <w:r>
        <w:rPr>
          <w:rFonts w:ascii="Times New Roman" w:eastAsia="Times New Roman" w:hAnsi="Times New Roman" w:cs="Times New Roman"/>
          <w:sz w:val="24"/>
          <w:szCs w:val="24"/>
        </w:rPr>
        <w:t>bioactive</w:t>
      </w:r>
      <w:r>
        <w:rPr>
          <w:rFonts w:ascii="Times New Roman" w:eastAsia="Times New Roman" w:hAnsi="Times New Roman" w:cs="Times New Roman"/>
          <w:color w:val="000000"/>
          <w:sz w:val="24"/>
          <w:szCs w:val="24"/>
        </w:rPr>
        <w:t xml:space="preserve"> food comp</w:t>
      </w:r>
      <w:r>
        <w:rPr>
          <w:rFonts w:ascii="Times New Roman" w:eastAsia="Times New Roman" w:hAnsi="Times New Roman" w:cs="Times New Roman"/>
          <w:color w:val="000000"/>
          <w:sz w:val="24"/>
          <w:szCs w:val="24"/>
        </w:rPr>
        <w:t xml:space="preserve">onents affect human health. The ARS Grand Forks Human Nutrition Research Center (Center), located in eastern North Dakota, is just one of the locations focused on carrying out the NPHN mission. The goal of the Center’s research is to identify the roles of </w:t>
      </w:r>
      <w:r>
        <w:rPr>
          <w:rFonts w:ascii="Times New Roman" w:eastAsia="Times New Roman" w:hAnsi="Times New Roman" w:cs="Times New Roman"/>
          <w:color w:val="000000"/>
          <w:sz w:val="24"/>
          <w:szCs w:val="24"/>
        </w:rPr>
        <w:t xml:space="preserve">foods, food factors, agriculture practices, physical activity and living and working in rural environments on physical, physiological, and psychological health. </w:t>
      </w:r>
    </w:p>
    <w:p w14:paraId="00000006" w14:textId="77777777" w:rsidR="002C07EE" w:rsidRDefault="00CE7061">
      <w:pPr>
        <w:widowControl w:val="0"/>
        <w:pBdr>
          <w:top w:val="nil"/>
          <w:left w:val="nil"/>
          <w:bottom w:val="nil"/>
          <w:right w:val="nil"/>
          <w:between w:val="nil"/>
        </w:pBdr>
        <w:spacing w:before="220" w:line="240" w:lineRule="auto"/>
        <w:ind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 scientists conduct human study research that is dependent on recruitment of human study participants. Recruitment occurs in the local metropolitan area through flyers in grocery stores, ads in newspapers, email, the Center website, and word of mouth</w:t>
      </w:r>
      <w:r>
        <w:rPr>
          <w:rFonts w:ascii="Times New Roman" w:eastAsia="Times New Roman" w:hAnsi="Times New Roman" w:cs="Times New Roman"/>
          <w:color w:val="000000"/>
          <w:sz w:val="24"/>
          <w:szCs w:val="24"/>
        </w:rPr>
        <w:t>. Considering the evolving research landscape coupled with advanced technology and a wider array of effective marketing tools, the Center has decided to update its recruitment processes. In doing so, the Center is seeking assistance from an outside firm (T</w:t>
      </w:r>
      <w:r>
        <w:rPr>
          <w:rFonts w:ascii="Times New Roman" w:eastAsia="Times New Roman" w:hAnsi="Times New Roman" w:cs="Times New Roman"/>
          <w:color w:val="000000"/>
          <w:sz w:val="24"/>
          <w:szCs w:val="24"/>
        </w:rPr>
        <w:t xml:space="preserve">he Firm) that can deliver a marketing communications plan that will provide guidance on how to: </w:t>
      </w:r>
    </w:p>
    <w:p w14:paraId="00000007" w14:textId="77777777" w:rsidR="002C07EE" w:rsidRDefault="00CE7061">
      <w:pPr>
        <w:widowControl w:val="0"/>
        <w:numPr>
          <w:ilvl w:val="0"/>
          <w:numId w:val="4"/>
        </w:numPr>
        <w:pBdr>
          <w:top w:val="nil"/>
          <w:left w:val="nil"/>
          <w:bottom w:val="nil"/>
          <w:right w:val="nil"/>
          <w:between w:val="nil"/>
        </w:pBdr>
        <w:spacing w:before="235" w:line="240" w:lineRule="auto"/>
        <w:ind w:right="187"/>
        <w:rPr>
          <w:color w:val="000000"/>
          <w:sz w:val="24"/>
          <w:szCs w:val="24"/>
        </w:rPr>
      </w:pPr>
      <w:r>
        <w:rPr>
          <w:rFonts w:ascii="Times New Roman" w:eastAsia="Times New Roman" w:hAnsi="Times New Roman" w:cs="Times New Roman"/>
          <w:color w:val="000000"/>
          <w:sz w:val="24"/>
          <w:szCs w:val="24"/>
        </w:rPr>
        <w:t>Reach a broader audience and increase the number of potential research participants volunteering for study participation. The plan will facilitate the recruitm</w:t>
      </w:r>
      <w:r>
        <w:rPr>
          <w:rFonts w:ascii="Times New Roman" w:eastAsia="Times New Roman" w:hAnsi="Times New Roman" w:cs="Times New Roman"/>
          <w:color w:val="000000"/>
          <w:sz w:val="24"/>
          <w:szCs w:val="24"/>
        </w:rPr>
        <w:t xml:space="preserve">ent of volunteer research participants through various networks and traditional and non-traditional channels. </w:t>
      </w:r>
    </w:p>
    <w:p w14:paraId="00000008" w14:textId="77777777" w:rsidR="002C07EE" w:rsidRDefault="00CE7061">
      <w:pPr>
        <w:widowControl w:val="0"/>
        <w:numPr>
          <w:ilvl w:val="0"/>
          <w:numId w:val="4"/>
        </w:numPr>
        <w:pBdr>
          <w:top w:val="nil"/>
          <w:left w:val="nil"/>
          <w:bottom w:val="nil"/>
          <w:right w:val="nil"/>
          <w:between w:val="nil"/>
        </w:pBdr>
        <w:spacing w:line="240" w:lineRule="auto"/>
        <w:ind w:right="201"/>
        <w:rPr>
          <w:color w:val="000000"/>
          <w:sz w:val="24"/>
          <w:szCs w:val="24"/>
        </w:rPr>
      </w:pPr>
      <w:r>
        <w:rPr>
          <w:rFonts w:ascii="Times New Roman" w:eastAsia="Times New Roman" w:hAnsi="Times New Roman" w:cs="Times New Roman"/>
          <w:color w:val="000000"/>
          <w:sz w:val="24"/>
          <w:szCs w:val="24"/>
        </w:rPr>
        <w:t>Increase the number of applicants for the Center’s vacant Category 1 Research Scientist and support staff positions. The plan will facilitate the</w:t>
      </w:r>
      <w:r>
        <w:rPr>
          <w:rFonts w:ascii="Times New Roman" w:eastAsia="Times New Roman" w:hAnsi="Times New Roman" w:cs="Times New Roman"/>
          <w:color w:val="000000"/>
          <w:sz w:val="24"/>
          <w:szCs w:val="24"/>
        </w:rPr>
        <w:t xml:space="preserve"> recruitment of Category 1 Research Scientists and support staff applying for vacant positions through various networks and traditional and non-traditional channels. </w:t>
      </w:r>
    </w:p>
    <w:p w14:paraId="00000009" w14:textId="77777777" w:rsidR="002C07EE" w:rsidRDefault="00CE7061">
      <w:pPr>
        <w:widowControl w:val="0"/>
        <w:pBdr>
          <w:top w:val="nil"/>
          <w:left w:val="nil"/>
          <w:bottom w:val="nil"/>
          <w:right w:val="nil"/>
          <w:between w:val="nil"/>
        </w:pBdr>
        <w:spacing w:before="494" w:line="240" w:lineRule="auto"/>
        <w:ind w:right="8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Objectives </w:t>
      </w:r>
    </w:p>
    <w:p w14:paraId="0000000A" w14:textId="77777777" w:rsidR="002C07EE" w:rsidRDefault="00CE7061">
      <w:pPr>
        <w:widowControl w:val="0"/>
        <w:numPr>
          <w:ilvl w:val="0"/>
          <w:numId w:val="3"/>
        </w:numPr>
        <w:pBdr>
          <w:top w:val="nil"/>
          <w:left w:val="nil"/>
          <w:bottom w:val="nil"/>
          <w:right w:val="nil"/>
          <w:between w:val="nil"/>
        </w:pBdr>
        <w:spacing w:before="326" w:line="240" w:lineRule="auto"/>
        <w:ind w:right="412"/>
        <w:rPr>
          <w:color w:val="000000"/>
          <w:sz w:val="24"/>
          <w:szCs w:val="24"/>
        </w:rPr>
      </w:pPr>
      <w:r>
        <w:rPr>
          <w:rFonts w:ascii="Times New Roman" w:eastAsia="Times New Roman" w:hAnsi="Times New Roman" w:cs="Times New Roman"/>
          <w:color w:val="000000"/>
          <w:sz w:val="24"/>
          <w:szCs w:val="24"/>
        </w:rPr>
        <w:t xml:space="preserve">Develop an external brand marketing communications plan focused on recruitment of research participants and on recruitment of scientists to work at the Center. </w:t>
      </w:r>
    </w:p>
    <w:p w14:paraId="0000000B" w14:textId="77777777" w:rsidR="002C07EE" w:rsidRDefault="00CE7061">
      <w:pPr>
        <w:widowControl w:val="0"/>
        <w:numPr>
          <w:ilvl w:val="0"/>
          <w:numId w:val="3"/>
        </w:numPr>
        <w:pBdr>
          <w:top w:val="nil"/>
          <w:left w:val="nil"/>
          <w:bottom w:val="nil"/>
          <w:right w:val="nil"/>
          <w:between w:val="nil"/>
        </w:pBdr>
        <w:spacing w:line="240" w:lineRule="auto"/>
        <w:ind w:right="619"/>
        <w:rPr>
          <w:color w:val="000000"/>
          <w:sz w:val="24"/>
          <w:szCs w:val="24"/>
        </w:rPr>
      </w:pPr>
      <w:r>
        <w:rPr>
          <w:rFonts w:ascii="Times New Roman" w:eastAsia="Times New Roman" w:hAnsi="Times New Roman" w:cs="Times New Roman"/>
          <w:color w:val="000000"/>
          <w:sz w:val="24"/>
          <w:szCs w:val="24"/>
        </w:rPr>
        <w:t xml:space="preserve">Audit and update the Center’s recruitment processes to align with the key messages outlined in </w:t>
      </w:r>
      <w:r>
        <w:rPr>
          <w:rFonts w:ascii="Times New Roman" w:eastAsia="Times New Roman" w:hAnsi="Times New Roman" w:cs="Times New Roman"/>
          <w:color w:val="000000"/>
          <w:sz w:val="24"/>
          <w:szCs w:val="24"/>
        </w:rPr>
        <w:t xml:space="preserve">the marketing communications plan. </w:t>
      </w:r>
    </w:p>
    <w:p w14:paraId="0000000C" w14:textId="77777777" w:rsidR="002C07EE" w:rsidRDefault="00CE7061">
      <w:pPr>
        <w:widowControl w:val="0"/>
        <w:pBdr>
          <w:top w:val="nil"/>
          <w:left w:val="nil"/>
          <w:bottom w:val="nil"/>
          <w:right w:val="nil"/>
          <w:between w:val="nil"/>
        </w:pBdr>
        <w:spacing w:before="52" w:line="240" w:lineRule="auto"/>
        <w:ind w:right="61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Scope </w:t>
      </w:r>
    </w:p>
    <w:p w14:paraId="0000000D" w14:textId="77777777" w:rsidR="002C07EE" w:rsidRDefault="00CE7061">
      <w:pPr>
        <w:widowControl w:val="0"/>
        <w:pBdr>
          <w:top w:val="nil"/>
          <w:left w:val="nil"/>
          <w:bottom w:val="nil"/>
          <w:right w:val="nil"/>
          <w:between w:val="nil"/>
        </w:pBdr>
        <w:spacing w:line="240" w:lineRule="auto"/>
        <w:rPr>
          <w:rFonts w:ascii="Times New Roman" w:eastAsia="Times New Roman" w:hAnsi="Times New Roman" w:cs="Times New Roman"/>
          <w:color w:val="000000"/>
          <w:sz w:val="40"/>
          <w:szCs w:val="40"/>
          <w:vertAlign w:val="subscript"/>
        </w:rPr>
      </w:pPr>
      <w:r>
        <w:rPr>
          <w:rFonts w:ascii="Times New Roman" w:eastAsia="Times New Roman" w:hAnsi="Times New Roman" w:cs="Times New Roman"/>
          <w:color w:val="000000"/>
          <w:sz w:val="40"/>
          <w:szCs w:val="40"/>
          <w:vertAlign w:val="subscript"/>
        </w:rPr>
        <w:t xml:space="preserve">The Firm will employ a phased approach to achieving these aims utilizing a mix of </w:t>
      </w:r>
    </w:p>
    <w:p w14:paraId="0000000E" w14:textId="77777777" w:rsidR="002C07EE" w:rsidRDefault="00CE7061">
      <w:pPr>
        <w:widowControl w:val="0"/>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communications tactics and channels. </w:t>
      </w:r>
    </w:p>
    <w:p w14:paraId="0000000F" w14:textId="77777777" w:rsidR="002C07EE" w:rsidRDefault="002C07EE">
      <w:pPr>
        <w:widowControl w:val="0"/>
        <w:pBdr>
          <w:top w:val="nil"/>
          <w:left w:val="nil"/>
          <w:bottom w:val="nil"/>
          <w:right w:val="nil"/>
          <w:between w:val="nil"/>
        </w:pBdr>
        <w:spacing w:before="312" w:line="240" w:lineRule="auto"/>
        <w:ind w:right="28"/>
        <w:rPr>
          <w:rFonts w:ascii="Times New Roman" w:eastAsia="Times New Roman" w:hAnsi="Times New Roman" w:cs="Times New Roman"/>
          <w:b/>
          <w:sz w:val="24"/>
          <w:szCs w:val="24"/>
        </w:rPr>
      </w:pPr>
    </w:p>
    <w:p w14:paraId="00000010" w14:textId="77777777" w:rsidR="002C07EE" w:rsidRDefault="00CE7061">
      <w:pPr>
        <w:widowControl w:val="0"/>
        <w:pBdr>
          <w:top w:val="nil"/>
          <w:left w:val="nil"/>
          <w:bottom w:val="nil"/>
          <w:right w:val="nil"/>
          <w:between w:val="nil"/>
        </w:pBdr>
        <w:spacing w:before="312" w:line="240" w:lineRule="auto"/>
        <w:ind w:right="2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Tasks or Requirements </w:t>
      </w:r>
    </w:p>
    <w:p w14:paraId="00000011" w14:textId="77777777" w:rsidR="002C07EE" w:rsidRDefault="00CE7061">
      <w:pPr>
        <w:widowControl w:val="0"/>
        <w:pBdr>
          <w:top w:val="nil"/>
          <w:left w:val="nil"/>
          <w:bottom w:val="nil"/>
          <w:right w:val="nil"/>
          <w:between w:val="nil"/>
        </w:pBdr>
        <w:spacing w:before="312" w:line="240" w:lineRule="auto"/>
        <w:ind w:right="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Firm must exhibit experience in, and demonstrate superior knowledge, skills and abilities in: </w:t>
      </w:r>
    </w:p>
    <w:p w14:paraId="00000012" w14:textId="77777777" w:rsidR="002C07EE" w:rsidRDefault="00CE7061">
      <w:pPr>
        <w:widowControl w:val="0"/>
        <w:numPr>
          <w:ilvl w:val="0"/>
          <w:numId w:val="2"/>
        </w:numPr>
        <w:pBdr>
          <w:top w:val="nil"/>
          <w:left w:val="nil"/>
          <w:bottom w:val="nil"/>
          <w:right w:val="nil"/>
          <w:between w:val="nil"/>
        </w:pBdr>
        <w:spacing w:before="331" w:line="240" w:lineRule="auto"/>
        <w:ind w:right="43"/>
        <w:rPr>
          <w:color w:val="000000"/>
          <w:sz w:val="24"/>
          <w:szCs w:val="24"/>
        </w:rPr>
      </w:pPr>
      <w:r>
        <w:rPr>
          <w:rFonts w:ascii="Times New Roman" w:eastAsia="Times New Roman" w:hAnsi="Times New Roman" w:cs="Times New Roman"/>
          <w:color w:val="000000"/>
          <w:sz w:val="24"/>
          <w:szCs w:val="24"/>
        </w:rPr>
        <w:t xml:space="preserve">Expanding the Center’s reach beyond the previously used recruitment tools such as flyers in grocery stores, ads in newspapers, email, the Center website and </w:t>
      </w:r>
      <w:r>
        <w:rPr>
          <w:rFonts w:ascii="Times New Roman" w:eastAsia="Times New Roman" w:hAnsi="Times New Roman" w:cs="Times New Roman"/>
          <w:color w:val="000000"/>
          <w:sz w:val="24"/>
          <w:szCs w:val="24"/>
        </w:rPr>
        <w:t xml:space="preserve">word of mouth, to increase the Center’s ability to recruit research participants. </w:t>
      </w:r>
    </w:p>
    <w:p w14:paraId="00000013" w14:textId="77777777" w:rsidR="002C07EE" w:rsidRDefault="00CE7061">
      <w:pPr>
        <w:widowControl w:val="0"/>
        <w:numPr>
          <w:ilvl w:val="0"/>
          <w:numId w:val="2"/>
        </w:numPr>
        <w:pBdr>
          <w:top w:val="nil"/>
          <w:left w:val="nil"/>
          <w:bottom w:val="nil"/>
          <w:right w:val="nil"/>
          <w:between w:val="nil"/>
        </w:pBdr>
        <w:spacing w:line="240" w:lineRule="auto"/>
        <w:ind w:right="249"/>
        <w:rPr>
          <w:color w:val="000000"/>
          <w:sz w:val="24"/>
          <w:szCs w:val="24"/>
        </w:rPr>
      </w:pPr>
      <w:r>
        <w:rPr>
          <w:rFonts w:ascii="Times New Roman" w:eastAsia="Times New Roman" w:hAnsi="Times New Roman" w:cs="Times New Roman"/>
          <w:color w:val="000000"/>
          <w:sz w:val="24"/>
          <w:szCs w:val="24"/>
        </w:rPr>
        <w:t>Enhancing the Center’s reach beyond the previously used recruitment tools to increase the Center’s ability to recruit a greater number of applicants for open scientist posit</w:t>
      </w:r>
      <w:r>
        <w:rPr>
          <w:rFonts w:ascii="Times New Roman" w:eastAsia="Times New Roman" w:hAnsi="Times New Roman" w:cs="Times New Roman"/>
          <w:color w:val="000000"/>
          <w:sz w:val="24"/>
          <w:szCs w:val="24"/>
        </w:rPr>
        <w:t xml:space="preserve">ions that have the necessary expertise to meet qualifications as a Category 1 Research Scientist. </w:t>
      </w:r>
    </w:p>
    <w:p w14:paraId="00000014" w14:textId="77777777" w:rsidR="002C07EE" w:rsidRDefault="00CE7061">
      <w:pPr>
        <w:widowControl w:val="0"/>
        <w:numPr>
          <w:ilvl w:val="0"/>
          <w:numId w:val="2"/>
        </w:numPr>
        <w:pBdr>
          <w:top w:val="nil"/>
          <w:left w:val="nil"/>
          <w:bottom w:val="nil"/>
          <w:right w:val="nil"/>
          <w:between w:val="nil"/>
        </w:pBdr>
        <w:spacing w:line="240" w:lineRule="auto"/>
        <w:ind w:right="206"/>
        <w:rPr>
          <w:color w:val="000000"/>
          <w:sz w:val="24"/>
          <w:szCs w:val="24"/>
        </w:rPr>
      </w:pPr>
      <w:r>
        <w:rPr>
          <w:rFonts w:ascii="Times New Roman" w:eastAsia="Times New Roman" w:hAnsi="Times New Roman" w:cs="Times New Roman"/>
          <w:color w:val="000000"/>
          <w:sz w:val="24"/>
          <w:szCs w:val="24"/>
        </w:rPr>
        <w:t>Creating a viable guidance mechanism upon which the Center can base its strategies for recruitment; namely a marketing communications plan with focused recruitment strategies for human study participants, for Category 1 Research Scientists and support staf</w:t>
      </w:r>
      <w:r>
        <w:rPr>
          <w:rFonts w:ascii="Times New Roman" w:eastAsia="Times New Roman" w:hAnsi="Times New Roman" w:cs="Times New Roman"/>
          <w:color w:val="000000"/>
          <w:sz w:val="24"/>
          <w:szCs w:val="24"/>
        </w:rPr>
        <w:t xml:space="preserve">f. </w:t>
      </w:r>
    </w:p>
    <w:p w14:paraId="00000015" w14:textId="77777777" w:rsidR="002C07EE" w:rsidRDefault="00CE7061">
      <w:pPr>
        <w:widowControl w:val="0"/>
        <w:numPr>
          <w:ilvl w:val="0"/>
          <w:numId w:val="2"/>
        </w:numPr>
        <w:pBdr>
          <w:top w:val="nil"/>
          <w:left w:val="nil"/>
          <w:bottom w:val="nil"/>
          <w:right w:val="nil"/>
          <w:between w:val="nil"/>
        </w:pBdr>
        <w:spacing w:line="240" w:lineRule="auto"/>
        <w:ind w:right="806"/>
        <w:rPr>
          <w:color w:val="000000"/>
          <w:sz w:val="24"/>
          <w:szCs w:val="24"/>
        </w:rPr>
      </w:pPr>
      <w:r>
        <w:rPr>
          <w:rFonts w:ascii="Times New Roman" w:eastAsia="Times New Roman" w:hAnsi="Times New Roman" w:cs="Times New Roman"/>
          <w:color w:val="000000"/>
          <w:sz w:val="24"/>
          <w:szCs w:val="24"/>
        </w:rPr>
        <w:t xml:space="preserve">Supplying expertise in the use of communications tools and advisement to Center Leadership and Staff on how to use them effectively. </w:t>
      </w:r>
    </w:p>
    <w:p w14:paraId="00000016" w14:textId="77777777" w:rsidR="002C07EE" w:rsidRDefault="00CE7061">
      <w:pPr>
        <w:widowControl w:val="0"/>
        <w:numPr>
          <w:ilvl w:val="0"/>
          <w:numId w:val="2"/>
        </w:numPr>
        <w:pBdr>
          <w:top w:val="nil"/>
          <w:left w:val="nil"/>
          <w:bottom w:val="nil"/>
          <w:right w:val="nil"/>
          <w:between w:val="nil"/>
        </w:pBdr>
        <w:spacing w:line="240" w:lineRule="auto"/>
        <w:ind w:right="124"/>
        <w:rPr>
          <w:color w:val="000000"/>
          <w:sz w:val="24"/>
          <w:szCs w:val="24"/>
        </w:rPr>
      </w:pPr>
      <w:r>
        <w:rPr>
          <w:rFonts w:ascii="Times New Roman" w:eastAsia="Times New Roman" w:hAnsi="Times New Roman" w:cs="Times New Roman"/>
          <w:color w:val="000000"/>
          <w:sz w:val="24"/>
          <w:szCs w:val="24"/>
        </w:rPr>
        <w:t>Providing examples of these communications tools and specific metrics on their usefulness in the recruitment of resear</w:t>
      </w:r>
      <w:r>
        <w:rPr>
          <w:rFonts w:ascii="Times New Roman" w:eastAsia="Times New Roman" w:hAnsi="Times New Roman" w:cs="Times New Roman"/>
          <w:color w:val="000000"/>
          <w:sz w:val="24"/>
          <w:szCs w:val="24"/>
        </w:rPr>
        <w:t xml:space="preserve">ch volunteers, Category 1 Research Scientists, and support staff. </w:t>
      </w:r>
    </w:p>
    <w:p w14:paraId="00000017" w14:textId="77777777" w:rsidR="002C07EE" w:rsidRDefault="00CE7061">
      <w:pPr>
        <w:widowControl w:val="0"/>
        <w:numPr>
          <w:ilvl w:val="0"/>
          <w:numId w:val="2"/>
        </w:numPr>
        <w:pBdr>
          <w:top w:val="nil"/>
          <w:left w:val="nil"/>
          <w:bottom w:val="nil"/>
          <w:right w:val="nil"/>
          <w:between w:val="nil"/>
        </w:pBdr>
        <w:spacing w:line="240" w:lineRule="auto"/>
        <w:ind w:right="134"/>
        <w:rPr>
          <w:color w:val="000000"/>
          <w:sz w:val="24"/>
          <w:szCs w:val="24"/>
        </w:rPr>
      </w:pPr>
      <w:r>
        <w:rPr>
          <w:rFonts w:ascii="Times New Roman" w:eastAsia="Times New Roman" w:hAnsi="Times New Roman" w:cs="Times New Roman"/>
          <w:color w:val="000000"/>
          <w:sz w:val="24"/>
          <w:szCs w:val="24"/>
        </w:rPr>
        <w:t>Delivering a custom experience to users of each marketing platform, while employing consistent messaging regarding the usefulness and importance of research participants at the Center along with mechanisms which make it easier to volunteer. For example, li</w:t>
      </w:r>
      <w:r>
        <w:rPr>
          <w:rFonts w:ascii="Times New Roman" w:eastAsia="Times New Roman" w:hAnsi="Times New Roman" w:cs="Times New Roman"/>
          <w:color w:val="000000"/>
          <w:sz w:val="24"/>
          <w:szCs w:val="24"/>
        </w:rPr>
        <w:t xml:space="preserve">nks to register as a participant or refer others who may be interested. </w:t>
      </w:r>
    </w:p>
    <w:p w14:paraId="00000018" w14:textId="77777777" w:rsidR="002C07EE" w:rsidRDefault="00CE7061">
      <w:pPr>
        <w:widowControl w:val="0"/>
        <w:numPr>
          <w:ilvl w:val="0"/>
          <w:numId w:val="2"/>
        </w:numPr>
        <w:pBdr>
          <w:top w:val="nil"/>
          <w:left w:val="nil"/>
          <w:bottom w:val="nil"/>
          <w:right w:val="nil"/>
          <w:between w:val="nil"/>
        </w:pBdr>
        <w:spacing w:line="240" w:lineRule="auto"/>
        <w:ind w:right="144"/>
        <w:rPr>
          <w:color w:val="000000"/>
          <w:sz w:val="24"/>
          <w:szCs w:val="24"/>
        </w:rPr>
      </w:pPr>
      <w:r>
        <w:rPr>
          <w:rFonts w:ascii="Times New Roman" w:eastAsia="Times New Roman" w:hAnsi="Times New Roman" w:cs="Times New Roman"/>
          <w:color w:val="000000"/>
          <w:sz w:val="24"/>
          <w:szCs w:val="24"/>
        </w:rPr>
        <w:t>Within the confines of USDA policy, delivering a custom experience to users of each marketing platform while employing consistent messaging regarding scientific career opportunities a</w:t>
      </w:r>
      <w:r>
        <w:rPr>
          <w:rFonts w:ascii="Times New Roman" w:eastAsia="Times New Roman" w:hAnsi="Times New Roman" w:cs="Times New Roman"/>
          <w:color w:val="000000"/>
          <w:sz w:val="24"/>
          <w:szCs w:val="24"/>
        </w:rPr>
        <w:t xml:space="preserve">t the Center. This should also include mechanisms which make it easy to apply for open positions. For example, links to apply for the position or refer others who may be interested. </w:t>
      </w:r>
    </w:p>
    <w:p w14:paraId="00000019" w14:textId="77777777" w:rsidR="002C07EE" w:rsidRDefault="00CE7061">
      <w:pPr>
        <w:widowControl w:val="0"/>
        <w:numPr>
          <w:ilvl w:val="0"/>
          <w:numId w:val="2"/>
        </w:numPr>
        <w:pBdr>
          <w:top w:val="nil"/>
          <w:left w:val="nil"/>
          <w:bottom w:val="nil"/>
          <w:right w:val="nil"/>
          <w:between w:val="nil"/>
        </w:pBdr>
        <w:spacing w:line="240" w:lineRule="auto"/>
        <w:ind w:right="273"/>
        <w:rPr>
          <w:color w:val="000000"/>
          <w:sz w:val="24"/>
          <w:szCs w:val="24"/>
        </w:rPr>
      </w:pPr>
      <w:r>
        <w:rPr>
          <w:rFonts w:ascii="Times New Roman" w:eastAsia="Times New Roman" w:hAnsi="Times New Roman" w:cs="Times New Roman"/>
          <w:color w:val="000000"/>
          <w:sz w:val="24"/>
          <w:szCs w:val="24"/>
        </w:rPr>
        <w:t>Automatically displaying research participant and job opportunities promi</w:t>
      </w:r>
      <w:r>
        <w:rPr>
          <w:rFonts w:ascii="Times New Roman" w:eastAsia="Times New Roman" w:hAnsi="Times New Roman" w:cs="Times New Roman"/>
          <w:color w:val="000000"/>
          <w:sz w:val="24"/>
          <w:szCs w:val="24"/>
        </w:rPr>
        <w:t xml:space="preserve">nently across applications. </w:t>
      </w:r>
    </w:p>
    <w:p w14:paraId="0000001A" w14:textId="77777777" w:rsidR="002C07EE" w:rsidRDefault="00CE7061">
      <w:pPr>
        <w:widowControl w:val="0"/>
        <w:numPr>
          <w:ilvl w:val="0"/>
          <w:numId w:val="2"/>
        </w:numPr>
        <w:pBdr>
          <w:top w:val="nil"/>
          <w:left w:val="nil"/>
          <w:bottom w:val="nil"/>
          <w:right w:val="nil"/>
          <w:between w:val="nil"/>
        </w:pBdr>
        <w:spacing w:line="240" w:lineRule="auto"/>
        <w:ind w:right="28"/>
        <w:rPr>
          <w:color w:val="000000"/>
          <w:sz w:val="24"/>
          <w:szCs w:val="24"/>
        </w:rPr>
      </w:pPr>
      <w:r>
        <w:rPr>
          <w:rFonts w:ascii="Times New Roman" w:eastAsia="Times New Roman" w:hAnsi="Times New Roman" w:cs="Times New Roman"/>
          <w:color w:val="000000"/>
          <w:sz w:val="24"/>
          <w:szCs w:val="24"/>
        </w:rPr>
        <w:t xml:space="preserve">Sharing relevant research opportunities to potential participants and job opportunities to potential Category 1 Research Scientist and support staff applicants that visit the Center’s webpage. </w:t>
      </w:r>
    </w:p>
    <w:p w14:paraId="0000001B" w14:textId="77777777" w:rsidR="002C07EE" w:rsidRDefault="00CE7061">
      <w:pPr>
        <w:widowControl w:val="0"/>
        <w:numPr>
          <w:ilvl w:val="0"/>
          <w:numId w:val="2"/>
        </w:numPr>
        <w:pBdr>
          <w:top w:val="nil"/>
          <w:left w:val="nil"/>
          <w:bottom w:val="nil"/>
          <w:right w:val="nil"/>
          <w:between w:val="nil"/>
        </w:pBdr>
        <w:spacing w:line="240" w:lineRule="auto"/>
        <w:ind w:right="825"/>
        <w:rPr>
          <w:color w:val="000000"/>
          <w:sz w:val="24"/>
          <w:szCs w:val="24"/>
        </w:rPr>
      </w:pPr>
      <w:r>
        <w:rPr>
          <w:rFonts w:ascii="Times New Roman" w:eastAsia="Times New Roman" w:hAnsi="Times New Roman" w:cs="Times New Roman"/>
          <w:color w:val="000000"/>
          <w:sz w:val="24"/>
          <w:szCs w:val="24"/>
        </w:rPr>
        <w:t xml:space="preserve">Supplying detailed analytics of the activity to the designated Center webpage and communications/media platforms such as: </w:t>
      </w:r>
    </w:p>
    <w:p w14:paraId="0000001C" w14:textId="77777777" w:rsidR="002C07EE" w:rsidRDefault="00CE7061">
      <w:pPr>
        <w:widowControl w:val="0"/>
        <w:numPr>
          <w:ilvl w:val="1"/>
          <w:numId w:val="2"/>
        </w:numPr>
        <w:pBdr>
          <w:top w:val="nil"/>
          <w:left w:val="nil"/>
          <w:bottom w:val="nil"/>
          <w:right w:val="nil"/>
          <w:between w:val="nil"/>
        </w:pBdr>
        <w:spacing w:line="240" w:lineRule="auto"/>
        <w:ind w:right="825"/>
        <w:rPr>
          <w:color w:val="000000"/>
          <w:sz w:val="24"/>
          <w:szCs w:val="24"/>
        </w:rPr>
      </w:pPr>
      <w:r>
        <w:rPr>
          <w:rFonts w:ascii="Times New Roman" w:eastAsia="Times New Roman" w:hAnsi="Times New Roman" w:cs="Times New Roman"/>
          <w:color w:val="000000"/>
          <w:sz w:val="24"/>
          <w:szCs w:val="24"/>
        </w:rPr>
        <w:t>Marketing analytics tools that monitor, track and compare marketing channels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one dashboard.</w:t>
      </w:r>
    </w:p>
    <w:p w14:paraId="0000001D" w14:textId="77777777" w:rsidR="002C07EE" w:rsidRDefault="00CE7061">
      <w:pPr>
        <w:widowControl w:val="0"/>
        <w:numPr>
          <w:ilvl w:val="1"/>
          <w:numId w:val="2"/>
        </w:numPr>
        <w:pBdr>
          <w:top w:val="nil"/>
          <w:left w:val="nil"/>
          <w:bottom w:val="nil"/>
          <w:right w:val="nil"/>
          <w:between w:val="nil"/>
        </w:pBdr>
        <w:spacing w:line="240" w:lineRule="auto"/>
        <w:ind w:right="825"/>
        <w:rPr>
          <w:color w:val="000000"/>
          <w:sz w:val="24"/>
          <w:szCs w:val="24"/>
        </w:rPr>
      </w:pPr>
      <w:r>
        <w:rPr>
          <w:rFonts w:ascii="Times New Roman" w:eastAsia="Times New Roman" w:hAnsi="Times New Roman" w:cs="Times New Roman"/>
          <w:color w:val="000000"/>
          <w:sz w:val="24"/>
          <w:szCs w:val="24"/>
        </w:rPr>
        <w:t xml:space="preserve">Lifecycle analytics to understand the </w:t>
      </w:r>
      <w:r>
        <w:rPr>
          <w:rFonts w:ascii="Times New Roman" w:eastAsia="Times New Roman" w:hAnsi="Times New Roman" w:cs="Times New Roman"/>
          <w:color w:val="000000"/>
          <w:sz w:val="24"/>
          <w:szCs w:val="24"/>
        </w:rPr>
        <w:t xml:space="preserve">best ways to communicate with potential human study participants, Category 1 Research Scientist and support staff applicants. </w:t>
      </w:r>
    </w:p>
    <w:p w14:paraId="0000001E" w14:textId="77777777" w:rsidR="002C07EE" w:rsidRDefault="00CE7061">
      <w:pPr>
        <w:widowControl w:val="0"/>
        <w:numPr>
          <w:ilvl w:val="1"/>
          <w:numId w:val="2"/>
        </w:numPr>
        <w:pBdr>
          <w:top w:val="nil"/>
          <w:left w:val="nil"/>
          <w:bottom w:val="nil"/>
          <w:right w:val="nil"/>
          <w:between w:val="nil"/>
        </w:pBdr>
        <w:spacing w:line="240" w:lineRule="auto"/>
        <w:ind w:right="825"/>
        <w:rPr>
          <w:color w:val="000000"/>
          <w:sz w:val="24"/>
          <w:szCs w:val="24"/>
        </w:rPr>
      </w:pPr>
      <w:r>
        <w:rPr>
          <w:rFonts w:ascii="Times New Roman" w:eastAsia="Times New Roman" w:hAnsi="Times New Roman" w:cs="Times New Roman"/>
          <w:color w:val="000000"/>
          <w:sz w:val="24"/>
          <w:szCs w:val="24"/>
        </w:rPr>
        <w:t xml:space="preserve">Customer analytics, to learn about unfulfilled consumer needs and identify problems in the marketing, such as confusion over the messaging or missing information that would have been helpful in making the </w:t>
      </w:r>
      <w:r>
        <w:rPr>
          <w:rFonts w:ascii="Times New Roman" w:eastAsia="Times New Roman" w:hAnsi="Times New Roman" w:cs="Times New Roman"/>
          <w:color w:val="000000"/>
          <w:sz w:val="24"/>
          <w:szCs w:val="24"/>
        </w:rPr>
        <w:lastRenderedPageBreak/>
        <w:t>decision to register as a human studies participant</w:t>
      </w:r>
      <w:r>
        <w:rPr>
          <w:rFonts w:ascii="Times New Roman" w:eastAsia="Times New Roman" w:hAnsi="Times New Roman" w:cs="Times New Roman"/>
          <w:color w:val="000000"/>
          <w:sz w:val="24"/>
          <w:szCs w:val="24"/>
        </w:rPr>
        <w:t xml:space="preserve">, or apply as a Category 1 Research Scientist or as other support staff. </w:t>
      </w:r>
    </w:p>
    <w:p w14:paraId="0000001F" w14:textId="77777777" w:rsidR="002C07EE" w:rsidRDefault="00CE7061">
      <w:pPr>
        <w:widowControl w:val="0"/>
        <w:numPr>
          <w:ilvl w:val="1"/>
          <w:numId w:val="2"/>
        </w:numPr>
        <w:pBdr>
          <w:top w:val="nil"/>
          <w:left w:val="nil"/>
          <w:bottom w:val="nil"/>
          <w:right w:val="nil"/>
          <w:between w:val="nil"/>
        </w:pBdr>
        <w:spacing w:line="240" w:lineRule="auto"/>
        <w:ind w:right="825"/>
        <w:rPr>
          <w:color w:val="000000"/>
          <w:sz w:val="24"/>
          <w:szCs w:val="24"/>
        </w:rPr>
      </w:pPr>
      <w:r>
        <w:rPr>
          <w:rFonts w:ascii="Times New Roman" w:eastAsia="Times New Roman" w:hAnsi="Times New Roman" w:cs="Times New Roman"/>
          <w:color w:val="000000"/>
          <w:sz w:val="24"/>
          <w:szCs w:val="24"/>
        </w:rPr>
        <w:t xml:space="preserve">Interpretation of engagement analytics. Analytics provided by USDA may include: </w:t>
      </w:r>
    </w:p>
    <w:p w14:paraId="00000020" w14:textId="77777777" w:rsidR="002C07EE" w:rsidRDefault="00CE7061">
      <w:pPr>
        <w:widowControl w:val="0"/>
        <w:numPr>
          <w:ilvl w:val="2"/>
          <w:numId w:val="2"/>
        </w:numPr>
        <w:pBdr>
          <w:top w:val="nil"/>
          <w:left w:val="nil"/>
          <w:bottom w:val="nil"/>
          <w:right w:val="nil"/>
          <w:between w:val="nil"/>
        </w:pBdr>
        <w:spacing w:line="240" w:lineRule="auto"/>
        <w:ind w:right="455"/>
        <w:rPr>
          <w:color w:val="000000"/>
          <w:sz w:val="24"/>
          <w:szCs w:val="24"/>
        </w:rPr>
      </w:pPr>
      <w:r>
        <w:rPr>
          <w:rFonts w:ascii="Times New Roman" w:eastAsia="Times New Roman" w:hAnsi="Times New Roman" w:cs="Times New Roman"/>
          <w:color w:val="000000"/>
          <w:sz w:val="24"/>
          <w:szCs w:val="24"/>
        </w:rPr>
        <w:t xml:space="preserve">how people get to the Center website and how they navigate the pages </w:t>
      </w:r>
    </w:p>
    <w:p w14:paraId="00000021" w14:textId="77777777" w:rsidR="002C07EE" w:rsidRDefault="00CE7061">
      <w:pPr>
        <w:widowControl w:val="0"/>
        <w:numPr>
          <w:ilvl w:val="2"/>
          <w:numId w:val="2"/>
        </w:numPr>
        <w:pBdr>
          <w:top w:val="nil"/>
          <w:left w:val="nil"/>
          <w:bottom w:val="nil"/>
          <w:right w:val="nil"/>
          <w:between w:val="nil"/>
        </w:pBdr>
        <w:spacing w:line="240" w:lineRule="auto"/>
        <w:ind w:right="4953"/>
        <w:rPr>
          <w:color w:val="000000"/>
          <w:sz w:val="24"/>
          <w:szCs w:val="24"/>
        </w:rPr>
      </w:pPr>
      <w:r>
        <w:rPr>
          <w:rFonts w:ascii="Times New Roman" w:eastAsia="Times New Roman" w:hAnsi="Times New Roman" w:cs="Times New Roman"/>
          <w:color w:val="000000"/>
          <w:sz w:val="24"/>
          <w:szCs w:val="24"/>
        </w:rPr>
        <w:t xml:space="preserve">where are they clicking </w:t>
      </w:r>
    </w:p>
    <w:p w14:paraId="00000022" w14:textId="77777777" w:rsidR="002C07EE" w:rsidRDefault="00CE7061">
      <w:pPr>
        <w:widowControl w:val="0"/>
        <w:numPr>
          <w:ilvl w:val="2"/>
          <w:numId w:val="2"/>
        </w:numPr>
        <w:pBdr>
          <w:top w:val="nil"/>
          <w:left w:val="nil"/>
          <w:bottom w:val="nil"/>
          <w:right w:val="nil"/>
          <w:between w:val="nil"/>
        </w:pBdr>
        <w:spacing w:line="240" w:lineRule="auto"/>
        <w:ind w:right="2160"/>
        <w:rPr>
          <w:color w:val="000000"/>
          <w:sz w:val="24"/>
          <w:szCs w:val="24"/>
        </w:rPr>
      </w:pPr>
      <w:r>
        <w:rPr>
          <w:rFonts w:ascii="Times New Roman" w:eastAsia="Times New Roman" w:hAnsi="Times New Roman" w:cs="Times New Roman"/>
          <w:color w:val="000000"/>
          <w:sz w:val="24"/>
          <w:szCs w:val="24"/>
        </w:rPr>
        <w:t>where are they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hovering </w:t>
      </w:r>
    </w:p>
    <w:p w14:paraId="00000023" w14:textId="77777777" w:rsidR="002C07EE" w:rsidRDefault="00CE7061">
      <w:pPr>
        <w:widowControl w:val="0"/>
        <w:numPr>
          <w:ilvl w:val="2"/>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where are they looking </w:t>
      </w:r>
    </w:p>
    <w:p w14:paraId="00000024" w14:textId="77777777" w:rsidR="002C07EE" w:rsidRDefault="00CE7061">
      <w:pPr>
        <w:widowControl w:val="0"/>
        <w:numPr>
          <w:ilvl w:val="2"/>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mouse-move heat maps</w:t>
      </w:r>
    </w:p>
    <w:p w14:paraId="00000025"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Integration of third-party applications </w:t>
      </w:r>
    </w:p>
    <w:p w14:paraId="00000026"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Search-friendly graphic design </w:t>
      </w:r>
    </w:p>
    <w:p w14:paraId="00000027"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Adherence to branding standards </w:t>
      </w:r>
    </w:p>
    <w:p w14:paraId="00000028"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Compliance with image copyright </w:t>
      </w:r>
    </w:p>
    <w:p w14:paraId="00000029"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Mobile, responsive design </w:t>
      </w:r>
    </w:p>
    <w:p w14:paraId="0000002A"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Database integration/migration </w:t>
      </w:r>
    </w:p>
    <w:p w14:paraId="0000002B"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Social media integration </w:t>
      </w:r>
    </w:p>
    <w:p w14:paraId="0000002C" w14:textId="77777777" w:rsidR="002C07EE" w:rsidRDefault="00CE7061">
      <w:pPr>
        <w:widowControl w:val="0"/>
        <w:numPr>
          <w:ilvl w:val="1"/>
          <w:numId w:val="2"/>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 xml:space="preserve">Search engine optimization. </w:t>
      </w:r>
    </w:p>
    <w:p w14:paraId="0000002D" w14:textId="77777777" w:rsidR="002C07EE" w:rsidRDefault="00CE7061">
      <w:pPr>
        <w:widowControl w:val="0"/>
        <w:pBdr>
          <w:top w:val="nil"/>
          <w:left w:val="nil"/>
          <w:bottom w:val="nil"/>
          <w:right w:val="nil"/>
          <w:between w:val="nil"/>
        </w:pBdr>
        <w:spacing w:before="38"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Deliverabl</w:t>
      </w:r>
      <w:r>
        <w:rPr>
          <w:rFonts w:ascii="Times New Roman" w:eastAsia="Times New Roman" w:hAnsi="Times New Roman" w:cs="Times New Roman"/>
          <w:b/>
          <w:sz w:val="24"/>
          <w:szCs w:val="24"/>
        </w:rPr>
        <w:t>es</w:t>
      </w:r>
    </w:p>
    <w:p w14:paraId="0000002E" w14:textId="77777777" w:rsidR="002C07EE" w:rsidRDefault="00CE7061">
      <w:pPr>
        <w:widowControl w:val="0"/>
        <w:numPr>
          <w:ilvl w:val="0"/>
          <w:numId w:val="1"/>
        </w:numPr>
        <w:pBdr>
          <w:top w:val="nil"/>
          <w:left w:val="nil"/>
          <w:bottom w:val="nil"/>
          <w:right w:val="nil"/>
          <w:between w:val="nil"/>
        </w:pBdr>
        <w:spacing w:before="331" w:line="240" w:lineRule="auto"/>
        <w:ind w:right="254"/>
        <w:rPr>
          <w:color w:val="000000"/>
          <w:sz w:val="24"/>
          <w:szCs w:val="24"/>
        </w:rPr>
      </w:pPr>
      <w:r>
        <w:rPr>
          <w:rFonts w:ascii="Times New Roman" w:eastAsia="Times New Roman" w:hAnsi="Times New Roman" w:cs="Times New Roman"/>
          <w:color w:val="000000"/>
          <w:sz w:val="24"/>
          <w:szCs w:val="24"/>
        </w:rPr>
        <w:t>Production of a professional quality video with narration that advertises the positive aspects of the Center’s facilities and staff and the local environment. The video will be placed on the Center’s website and job advertisements will include a link to th</w:t>
      </w:r>
      <w:r>
        <w:rPr>
          <w:rFonts w:ascii="Times New Roman" w:eastAsia="Times New Roman" w:hAnsi="Times New Roman" w:cs="Times New Roman"/>
          <w:color w:val="000000"/>
          <w:sz w:val="24"/>
          <w:szCs w:val="24"/>
        </w:rPr>
        <w:t xml:space="preserve">e video. </w:t>
      </w:r>
    </w:p>
    <w:p w14:paraId="0000002F" w14:textId="77777777" w:rsidR="002C07EE" w:rsidRDefault="00CE7061">
      <w:pPr>
        <w:widowControl w:val="0"/>
        <w:numPr>
          <w:ilvl w:val="0"/>
          <w:numId w:val="1"/>
        </w:numPr>
        <w:pBdr>
          <w:top w:val="nil"/>
          <w:left w:val="nil"/>
          <w:bottom w:val="nil"/>
          <w:right w:val="nil"/>
          <w:between w:val="nil"/>
        </w:pBdr>
        <w:spacing w:line="240" w:lineRule="auto"/>
        <w:ind w:right="355"/>
        <w:rPr>
          <w:color w:val="000000"/>
          <w:sz w:val="24"/>
          <w:szCs w:val="24"/>
        </w:rPr>
      </w:pPr>
      <w:r>
        <w:rPr>
          <w:rFonts w:ascii="Times New Roman" w:eastAsia="Times New Roman" w:hAnsi="Times New Roman" w:cs="Times New Roman"/>
          <w:color w:val="000000"/>
          <w:sz w:val="24"/>
          <w:szCs w:val="24"/>
        </w:rPr>
        <w:t xml:space="preserve">Detailed Strategy – Within the marketing communication plan, the social messaging strategy, establishing frequency of messages and how they’ll be tailored to each social messaging platform. </w:t>
      </w:r>
    </w:p>
    <w:p w14:paraId="00000030" w14:textId="77777777" w:rsidR="002C07EE" w:rsidRDefault="00CE7061">
      <w:pPr>
        <w:widowControl w:val="0"/>
        <w:numPr>
          <w:ilvl w:val="0"/>
          <w:numId w:val="1"/>
        </w:numPr>
        <w:pBdr>
          <w:top w:val="nil"/>
          <w:left w:val="nil"/>
          <w:bottom w:val="nil"/>
          <w:right w:val="nil"/>
          <w:between w:val="nil"/>
        </w:pBdr>
        <w:spacing w:line="240" w:lineRule="auto"/>
        <w:ind w:right="480"/>
        <w:rPr>
          <w:color w:val="000000"/>
          <w:sz w:val="24"/>
          <w:szCs w:val="24"/>
        </w:rPr>
      </w:pPr>
      <w:r>
        <w:rPr>
          <w:rFonts w:ascii="Times New Roman" w:eastAsia="Times New Roman" w:hAnsi="Times New Roman" w:cs="Times New Roman"/>
          <w:color w:val="000000"/>
          <w:sz w:val="24"/>
          <w:szCs w:val="24"/>
        </w:rPr>
        <w:t>Social Calendar – A social calendar stocked with messag</w:t>
      </w:r>
      <w:r>
        <w:rPr>
          <w:rFonts w:ascii="Times New Roman" w:eastAsia="Times New Roman" w:hAnsi="Times New Roman" w:cs="Times New Roman"/>
          <w:color w:val="000000"/>
          <w:sz w:val="24"/>
          <w:szCs w:val="24"/>
        </w:rPr>
        <w:t xml:space="preserve">es and scheduled out for the duration of the campaign. </w:t>
      </w:r>
    </w:p>
    <w:p w14:paraId="00000031" w14:textId="77777777" w:rsidR="002C07EE" w:rsidRDefault="00CE7061">
      <w:pPr>
        <w:widowControl w:val="0"/>
        <w:numPr>
          <w:ilvl w:val="0"/>
          <w:numId w:val="1"/>
        </w:numPr>
        <w:pBdr>
          <w:top w:val="nil"/>
          <w:left w:val="nil"/>
          <w:bottom w:val="nil"/>
          <w:right w:val="nil"/>
          <w:between w:val="nil"/>
        </w:pBdr>
        <w:spacing w:line="240" w:lineRule="auto"/>
        <w:ind w:right="287"/>
        <w:rPr>
          <w:color w:val="000000"/>
          <w:sz w:val="24"/>
          <w:szCs w:val="24"/>
        </w:rPr>
      </w:pPr>
      <w:r>
        <w:rPr>
          <w:rFonts w:ascii="Times New Roman" w:eastAsia="Times New Roman" w:hAnsi="Times New Roman" w:cs="Times New Roman"/>
          <w:color w:val="000000"/>
          <w:sz w:val="24"/>
          <w:szCs w:val="24"/>
        </w:rPr>
        <w:t xml:space="preserve">Social Team Staffing – Staffing to monitor results from online listening platforms. The Firm will follow-up with these results and pass them along to Center staff. </w:t>
      </w:r>
    </w:p>
    <w:p w14:paraId="00000032" w14:textId="77777777" w:rsidR="002C07EE" w:rsidRDefault="00CE7061">
      <w:pPr>
        <w:widowControl w:val="0"/>
        <w:numPr>
          <w:ilvl w:val="0"/>
          <w:numId w:val="1"/>
        </w:numPr>
        <w:pBdr>
          <w:top w:val="nil"/>
          <w:left w:val="nil"/>
          <w:bottom w:val="nil"/>
          <w:right w:val="nil"/>
          <w:between w:val="nil"/>
        </w:pBdr>
        <w:spacing w:line="240" w:lineRule="auto"/>
        <w:ind w:right="192"/>
        <w:rPr>
          <w:color w:val="000000"/>
          <w:sz w:val="24"/>
          <w:szCs w:val="24"/>
        </w:rPr>
      </w:pPr>
      <w:r>
        <w:rPr>
          <w:rFonts w:ascii="Times New Roman" w:eastAsia="Times New Roman" w:hAnsi="Times New Roman" w:cs="Times New Roman"/>
          <w:color w:val="000000"/>
          <w:sz w:val="24"/>
          <w:szCs w:val="24"/>
        </w:rPr>
        <w:t>Media Planning/Buying - The planning and buying process for each medium will vary. Many factors are to be taken into consideration, including target audience, how the audience consumes, market research, cost per point per market, cost per impression, geogr</w:t>
      </w:r>
      <w:r>
        <w:rPr>
          <w:rFonts w:ascii="Times New Roman" w:eastAsia="Times New Roman" w:hAnsi="Times New Roman" w:cs="Times New Roman"/>
          <w:color w:val="000000"/>
          <w:sz w:val="24"/>
          <w:szCs w:val="24"/>
        </w:rPr>
        <w:t xml:space="preserve">aphic region, key demographics and budget. The Firm will prepare a plan with the best media mix and then ask for even more with value-added opportunities. </w:t>
      </w:r>
    </w:p>
    <w:p w14:paraId="00000033" w14:textId="77777777" w:rsidR="002C07EE" w:rsidRDefault="00CE7061">
      <w:pPr>
        <w:widowControl w:val="0"/>
        <w:numPr>
          <w:ilvl w:val="0"/>
          <w:numId w:val="1"/>
        </w:numPr>
        <w:pBdr>
          <w:top w:val="nil"/>
          <w:left w:val="nil"/>
          <w:bottom w:val="nil"/>
          <w:right w:val="nil"/>
          <w:between w:val="nil"/>
        </w:pBdr>
        <w:spacing w:line="240" w:lineRule="auto"/>
        <w:ind w:right="441"/>
        <w:rPr>
          <w:color w:val="000000"/>
          <w:sz w:val="24"/>
          <w:szCs w:val="24"/>
        </w:rPr>
      </w:pPr>
      <w:r>
        <w:rPr>
          <w:rFonts w:ascii="Times New Roman" w:eastAsia="Times New Roman" w:hAnsi="Times New Roman" w:cs="Times New Roman"/>
          <w:color w:val="000000"/>
          <w:sz w:val="24"/>
          <w:szCs w:val="24"/>
        </w:rPr>
        <w:t>Monitoring and Optimizing - Following each media buy, all invoices are verified to ensure that media</w:t>
      </w:r>
      <w:r>
        <w:rPr>
          <w:rFonts w:ascii="Times New Roman" w:eastAsia="Times New Roman" w:hAnsi="Times New Roman" w:cs="Times New Roman"/>
          <w:color w:val="000000"/>
          <w:sz w:val="24"/>
          <w:szCs w:val="24"/>
        </w:rPr>
        <w:t xml:space="preserve"> placed has been delivered. If not, make-goods or credits are issued. Throughout the life of the media plan the media activity is constantly evaluated and mapped back to the strategies to assure the goals are achieved. </w:t>
      </w:r>
    </w:p>
    <w:p w14:paraId="00000034" w14:textId="77777777" w:rsidR="002C07EE" w:rsidRDefault="00CE7061">
      <w:pPr>
        <w:widowControl w:val="0"/>
        <w:numPr>
          <w:ilvl w:val="0"/>
          <w:numId w:val="1"/>
        </w:numPr>
        <w:pBdr>
          <w:top w:val="nil"/>
          <w:left w:val="nil"/>
          <w:bottom w:val="nil"/>
          <w:right w:val="nil"/>
          <w:between w:val="nil"/>
        </w:pBdr>
        <w:spacing w:line="240" w:lineRule="auto"/>
        <w:ind w:right="484"/>
        <w:jc w:val="both"/>
        <w:rPr>
          <w:color w:val="000000"/>
          <w:sz w:val="24"/>
          <w:szCs w:val="24"/>
        </w:rPr>
      </w:pPr>
      <w:r>
        <w:rPr>
          <w:rFonts w:ascii="Times New Roman" w:eastAsia="Times New Roman" w:hAnsi="Times New Roman" w:cs="Times New Roman"/>
          <w:color w:val="000000"/>
          <w:sz w:val="24"/>
          <w:szCs w:val="24"/>
        </w:rPr>
        <w:t xml:space="preserve">Reporting - After identifying the business objectives, and the strategies and tactics to achieve those objectives, measurable key performance indicators (KPIs) are properly tracked. </w:t>
      </w:r>
    </w:p>
    <w:p w14:paraId="00000035" w14:textId="77777777" w:rsidR="002C07EE" w:rsidRDefault="00CE7061">
      <w:pPr>
        <w:widowControl w:val="0"/>
        <w:pBdr>
          <w:top w:val="nil"/>
          <w:left w:val="nil"/>
          <w:bottom w:val="nil"/>
          <w:right w:val="nil"/>
          <w:between w:val="nil"/>
        </w:pBdr>
        <w:spacing w:before="312" w:line="240" w:lineRule="auto"/>
        <w:ind w:right="14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Government-Furnished Equipment and Government-Furnished Information </w:t>
      </w:r>
    </w:p>
    <w:p w14:paraId="00000036" w14:textId="77777777" w:rsidR="002C07EE" w:rsidRDefault="00CE7061">
      <w:pPr>
        <w:widowControl w:val="0"/>
        <w:numPr>
          <w:ilvl w:val="0"/>
          <w:numId w:val="1"/>
        </w:numPr>
        <w:pBdr>
          <w:top w:val="nil"/>
          <w:left w:val="nil"/>
          <w:bottom w:val="nil"/>
          <w:right w:val="nil"/>
          <w:between w:val="nil"/>
        </w:pBdr>
        <w:spacing w:before="52" w:line="240" w:lineRule="auto"/>
        <w:ind w:right="2020"/>
        <w:rPr>
          <w:color w:val="000000"/>
          <w:sz w:val="24"/>
          <w:szCs w:val="24"/>
        </w:rPr>
      </w:pPr>
      <w:r>
        <w:rPr>
          <w:rFonts w:ascii="Times New Roman" w:eastAsia="Times New Roman" w:hAnsi="Times New Roman" w:cs="Times New Roman"/>
          <w:color w:val="000000"/>
          <w:sz w:val="24"/>
          <w:szCs w:val="24"/>
        </w:rPr>
        <w:t xml:space="preserve">ARS </w:t>
      </w:r>
      <w:r>
        <w:rPr>
          <w:rFonts w:ascii="Times New Roman" w:eastAsia="Times New Roman" w:hAnsi="Times New Roman" w:cs="Times New Roman"/>
          <w:color w:val="000000"/>
          <w:sz w:val="24"/>
          <w:szCs w:val="24"/>
        </w:rPr>
        <w:t xml:space="preserve">will provide the necessary information to accomplish the goals. </w:t>
      </w:r>
    </w:p>
    <w:p w14:paraId="00000037" w14:textId="77777777" w:rsidR="002C07EE" w:rsidRDefault="002C07EE">
      <w:pPr>
        <w:widowControl w:val="0"/>
        <w:pBdr>
          <w:top w:val="nil"/>
          <w:left w:val="nil"/>
          <w:bottom w:val="nil"/>
          <w:right w:val="nil"/>
          <w:between w:val="nil"/>
        </w:pBdr>
        <w:spacing w:before="312" w:line="240" w:lineRule="auto"/>
        <w:ind w:right="-90"/>
        <w:rPr>
          <w:rFonts w:ascii="Times New Roman" w:eastAsia="Times New Roman" w:hAnsi="Times New Roman" w:cs="Times New Roman"/>
          <w:b/>
          <w:sz w:val="24"/>
          <w:szCs w:val="24"/>
        </w:rPr>
      </w:pPr>
    </w:p>
    <w:p w14:paraId="00000038" w14:textId="77777777" w:rsidR="002C07EE" w:rsidRDefault="00CE7061">
      <w:pPr>
        <w:widowControl w:val="0"/>
        <w:pBdr>
          <w:top w:val="nil"/>
          <w:left w:val="nil"/>
          <w:bottom w:val="nil"/>
          <w:right w:val="nil"/>
          <w:between w:val="nil"/>
        </w:pBdr>
        <w:spacing w:before="312" w:line="240" w:lineRule="auto"/>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Place of Performance </w:t>
      </w:r>
    </w:p>
    <w:p w14:paraId="00000039" w14:textId="77777777" w:rsidR="002C07EE" w:rsidRDefault="00CE7061">
      <w:pPr>
        <w:widowControl w:val="0"/>
        <w:numPr>
          <w:ilvl w:val="0"/>
          <w:numId w:val="1"/>
        </w:numPr>
        <w:pBdr>
          <w:top w:val="nil"/>
          <w:left w:val="nil"/>
          <w:bottom w:val="nil"/>
          <w:right w:val="nil"/>
          <w:between w:val="nil"/>
        </w:pBdr>
        <w:spacing w:before="52" w:line="240" w:lineRule="auto"/>
        <w:ind w:right="-90"/>
        <w:rPr>
          <w:color w:val="000000"/>
          <w:sz w:val="24"/>
          <w:szCs w:val="24"/>
        </w:rPr>
      </w:pPr>
      <w:r>
        <w:rPr>
          <w:rFonts w:ascii="Times New Roman" w:eastAsia="Times New Roman" w:hAnsi="Times New Roman" w:cs="Times New Roman"/>
          <w:color w:val="000000"/>
          <w:sz w:val="24"/>
          <w:szCs w:val="24"/>
        </w:rPr>
        <w:t xml:space="preserve">Work performed remotely; no access to government property or systems needed. </w:t>
      </w:r>
    </w:p>
    <w:p w14:paraId="0000003A" w14:textId="77777777" w:rsidR="002C07EE" w:rsidRDefault="00CE7061">
      <w:pPr>
        <w:widowControl w:val="0"/>
        <w:pBdr>
          <w:top w:val="nil"/>
          <w:left w:val="nil"/>
          <w:bottom w:val="nil"/>
          <w:right w:val="nil"/>
          <w:between w:val="nil"/>
        </w:pBdr>
        <w:spacing w:before="312" w:line="240" w:lineRule="auto"/>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Period of Performance </w:t>
      </w:r>
    </w:p>
    <w:p w14:paraId="0000003B" w14:textId="77777777" w:rsidR="002C07EE" w:rsidRDefault="00CE7061">
      <w:pPr>
        <w:widowControl w:val="0"/>
        <w:numPr>
          <w:ilvl w:val="0"/>
          <w:numId w:val="1"/>
        </w:numPr>
        <w:pBdr>
          <w:top w:val="nil"/>
          <w:left w:val="nil"/>
          <w:bottom w:val="nil"/>
          <w:right w:val="nil"/>
          <w:between w:val="nil"/>
        </w:pBdr>
        <w:spacing w:before="52" w:line="240" w:lineRule="auto"/>
        <w:ind w:right="-90"/>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The period of performance is 12 months. Based on funding availability possibility to extend/amend services each year. </w:t>
      </w:r>
    </w:p>
    <w:sectPr w:rsidR="002C07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2104"/>
    <w:multiLevelType w:val="multilevel"/>
    <w:tmpl w:val="87A8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82570F"/>
    <w:multiLevelType w:val="multilevel"/>
    <w:tmpl w:val="4F5E1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732F80"/>
    <w:multiLevelType w:val="multilevel"/>
    <w:tmpl w:val="E158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656ACA"/>
    <w:multiLevelType w:val="multilevel"/>
    <w:tmpl w:val="485A0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C07EE"/>
    <w:rsid w:val="002C07EE"/>
    <w:rsid w:val="00CE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2020-11-03T16:53:00Z</dcterms:created>
  <dcterms:modified xsi:type="dcterms:W3CDTF">2020-11-03T16:53:00Z</dcterms:modified>
</cp:coreProperties>
</file>