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8" w:rsidRDefault="00A9436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Performance Work Statement (PWS)</w:t>
      </w:r>
    </w:p>
    <w:p w:rsidR="002E7378" w:rsidRDefault="00A943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Requirement for Data Collection and Analysis Training</w:t>
      </w:r>
    </w:p>
    <w:p w:rsidR="002E7378" w:rsidRDefault="002E7378">
      <w:pPr>
        <w:jc w:val="center"/>
        <w:rPr>
          <w:b/>
          <w:sz w:val="22"/>
          <w:szCs w:val="22"/>
        </w:rPr>
      </w:pPr>
    </w:p>
    <w:p w:rsidR="002E7378" w:rsidRDefault="00A94369">
      <w:pPr>
        <w:widowControl w:val="0"/>
        <w:tabs>
          <w:tab w:val="left" w:pos="466"/>
        </w:tabs>
        <w:spacing w:before="69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*Note that this sample has been revised from the source document on the Government Point of Entry as necessary to align formatting and applicable FAR procedures.*</w:t>
      </w:r>
    </w:p>
    <w:p w:rsidR="002E7378" w:rsidRDefault="00A943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E7378" w:rsidRDefault="00A94369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BACKGROUND OR SCOPE</w:t>
      </w:r>
    </w:p>
    <w:p w:rsidR="002E7378" w:rsidRDefault="00A9436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7378" w:rsidRDefault="00A94369">
      <w:pPr>
        <w:rPr>
          <w:sz w:val="22"/>
          <w:szCs w:val="22"/>
        </w:rPr>
      </w:pPr>
      <w:r>
        <w:rPr>
          <w:sz w:val="22"/>
          <w:szCs w:val="22"/>
        </w:rPr>
        <w:t xml:space="preserve">MARCORLOGCOM requires annual training to meet requested training requirements each fiscal year. The Organizational Development Office performs analysis on the training requirements data that is gathered from Individual Development </w:t>
      </w:r>
      <w:r>
        <w:rPr>
          <w:sz w:val="22"/>
          <w:szCs w:val="22"/>
        </w:rPr>
        <w:t xml:space="preserve">plans (IDP) and determines which courses are considered mission essential.  Data Collection and Analysis training has been determined to be required training. </w:t>
      </w:r>
    </w:p>
    <w:p w:rsidR="002E7378" w:rsidRDefault="00A9436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7378" w:rsidRDefault="00A94369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SCHEDULE OF SERVICES/SUPPLIES</w:t>
      </w:r>
    </w:p>
    <w:p w:rsidR="002E7378" w:rsidRDefault="002E7378">
      <w:pPr>
        <w:rPr>
          <w:b/>
          <w:sz w:val="22"/>
          <w:szCs w:val="22"/>
        </w:rPr>
      </w:pPr>
    </w:p>
    <w:tbl>
      <w:tblPr>
        <w:tblStyle w:val="a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060"/>
        <w:gridCol w:w="1455"/>
        <w:gridCol w:w="1065"/>
        <w:gridCol w:w="1406"/>
        <w:gridCol w:w="1384"/>
      </w:tblGrid>
      <w:tr w:rsidR="002E7378">
        <w:trPr>
          <w:jc w:val="center"/>
        </w:trPr>
        <w:tc>
          <w:tcPr>
            <w:tcW w:w="990" w:type="dxa"/>
            <w:shd w:val="clear" w:color="auto" w:fill="C0C0C0"/>
          </w:tcPr>
          <w:p w:rsidR="002E7378" w:rsidRDefault="00A94369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NO</w:t>
            </w:r>
          </w:p>
        </w:tc>
        <w:tc>
          <w:tcPr>
            <w:tcW w:w="3060" w:type="dxa"/>
            <w:shd w:val="clear" w:color="auto" w:fill="C0C0C0"/>
          </w:tcPr>
          <w:p w:rsidR="002E7378" w:rsidRDefault="00A94369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SUPPLIES/SERVICES</w:t>
            </w:r>
          </w:p>
        </w:tc>
        <w:tc>
          <w:tcPr>
            <w:tcW w:w="1455" w:type="dxa"/>
            <w:shd w:val="clear" w:color="auto" w:fill="C0C0C0"/>
          </w:tcPr>
          <w:p w:rsidR="002E7378" w:rsidRDefault="00A94369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1065" w:type="dxa"/>
            <w:shd w:val="clear" w:color="auto" w:fill="C0C0C0"/>
          </w:tcPr>
          <w:p w:rsidR="002E7378" w:rsidRDefault="00A94369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1406" w:type="dxa"/>
            <w:shd w:val="clear" w:color="auto" w:fill="C0C0C0"/>
          </w:tcPr>
          <w:p w:rsidR="002E7378" w:rsidRDefault="00A94369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PRICE</w:t>
            </w:r>
          </w:p>
        </w:tc>
        <w:tc>
          <w:tcPr>
            <w:tcW w:w="1384" w:type="dxa"/>
            <w:shd w:val="clear" w:color="auto" w:fill="C0C0C0"/>
          </w:tcPr>
          <w:p w:rsidR="002E7378" w:rsidRDefault="00A9436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PRI</w:t>
            </w:r>
            <w:r>
              <w:rPr>
                <w:b/>
                <w:sz w:val="22"/>
                <w:szCs w:val="22"/>
              </w:rPr>
              <w:t>CE</w:t>
            </w:r>
          </w:p>
        </w:tc>
      </w:tr>
      <w:tr w:rsidR="002E7378">
        <w:trPr>
          <w:jc w:val="center"/>
        </w:trPr>
        <w:tc>
          <w:tcPr>
            <w:tcW w:w="990" w:type="dxa"/>
            <w:shd w:val="clear" w:color="auto" w:fill="C0C0C0"/>
          </w:tcPr>
          <w:p w:rsidR="002E7378" w:rsidRDefault="00A943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  <w:tc>
          <w:tcPr>
            <w:tcW w:w="3060" w:type="dxa"/>
            <w:shd w:val="clear" w:color="auto" w:fill="C0C0C0"/>
          </w:tcPr>
          <w:p w:rsidR="002E7378" w:rsidRDefault="00A943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Collection and Analysis Training</w:t>
            </w:r>
          </w:p>
        </w:tc>
        <w:tc>
          <w:tcPr>
            <w:tcW w:w="1455" w:type="dxa"/>
            <w:shd w:val="clear" w:color="auto" w:fill="C0C0C0"/>
          </w:tcPr>
          <w:p w:rsidR="002E7378" w:rsidRDefault="00A943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5" w:type="dxa"/>
            <w:shd w:val="clear" w:color="auto" w:fill="C0C0C0"/>
          </w:tcPr>
          <w:p w:rsidR="002E7378" w:rsidRDefault="00A943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</w:t>
            </w:r>
          </w:p>
        </w:tc>
        <w:tc>
          <w:tcPr>
            <w:tcW w:w="1406" w:type="dxa"/>
            <w:shd w:val="clear" w:color="auto" w:fill="C0C0C0"/>
          </w:tcPr>
          <w:p w:rsidR="002E7378" w:rsidRDefault="002E737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C0C0C0"/>
          </w:tcPr>
          <w:p w:rsidR="002E7378" w:rsidRDefault="002E7378">
            <w:pPr>
              <w:keepNext/>
              <w:jc w:val="right"/>
              <w:rPr>
                <w:sz w:val="22"/>
                <w:szCs w:val="22"/>
              </w:rPr>
            </w:pPr>
          </w:p>
        </w:tc>
      </w:tr>
      <w:tr w:rsidR="002E7378">
        <w:trPr>
          <w:jc w:val="center"/>
        </w:trPr>
        <w:tc>
          <w:tcPr>
            <w:tcW w:w="990" w:type="dxa"/>
          </w:tcPr>
          <w:p w:rsidR="002E7378" w:rsidRDefault="002E7378">
            <w:pPr>
              <w:keepNext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6" w:type="dxa"/>
            <w:gridSpan w:val="4"/>
          </w:tcPr>
          <w:p w:rsidR="002E7378" w:rsidRDefault="002E7378">
            <w:pPr>
              <w:keepNext/>
              <w:rPr>
                <w:sz w:val="22"/>
                <w:szCs w:val="22"/>
              </w:rPr>
            </w:pPr>
          </w:p>
          <w:p w:rsidR="002E7378" w:rsidRDefault="00A943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contractor shall provide one (1), three (3) day, on–site, off the shelf, instructor led course on Data Collection and Analysis training as identified in the Performance Work Statement (PWS). </w:t>
            </w:r>
          </w:p>
          <w:p w:rsidR="002E7378" w:rsidRDefault="002E7378">
            <w:pPr>
              <w:keepNext/>
              <w:rPr>
                <w:sz w:val="22"/>
                <w:szCs w:val="22"/>
              </w:rPr>
            </w:pPr>
          </w:p>
          <w:p w:rsidR="002E7378" w:rsidRDefault="00A94369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Learning Outcomes </w:t>
            </w:r>
          </w:p>
          <w:p w:rsidR="002E7378" w:rsidRDefault="00A9436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Design a research study</w:t>
            </w:r>
          </w:p>
          <w:p w:rsidR="002E7378" w:rsidRDefault="00A9436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Select a sampling procedure</w:t>
            </w:r>
          </w:p>
          <w:p w:rsidR="002E7378" w:rsidRDefault="00A9436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Develop effective survey tools and instruments</w:t>
            </w:r>
          </w:p>
          <w:p w:rsidR="002E7378" w:rsidRDefault="00A9436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Apply statistical analysis to data</w:t>
            </w:r>
          </w:p>
          <w:p w:rsidR="002E7378" w:rsidRDefault="002E7378">
            <w:pPr>
              <w:keepNext/>
              <w:rPr>
                <w:b/>
                <w:sz w:val="22"/>
                <w:szCs w:val="22"/>
              </w:rPr>
            </w:pPr>
          </w:p>
          <w:p w:rsidR="002E7378" w:rsidRDefault="00A943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students: 25</w:t>
            </w:r>
          </w:p>
          <w:p w:rsidR="002E7378" w:rsidRDefault="002E7378">
            <w:pPr>
              <w:keepNext/>
              <w:rPr>
                <w:sz w:val="22"/>
                <w:szCs w:val="22"/>
              </w:rPr>
            </w:pPr>
          </w:p>
          <w:p w:rsidR="002E7378" w:rsidRDefault="00A943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Site: on-site at Government facility (Marine Corps Logistics Base, Al</w:t>
            </w:r>
            <w:r>
              <w:rPr>
                <w:sz w:val="22"/>
                <w:szCs w:val="22"/>
              </w:rPr>
              <w:t>bany Georgia) as identified in the Performance Work Statement (PWS).</w:t>
            </w:r>
          </w:p>
          <w:p w:rsidR="002E7378" w:rsidRDefault="00A943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E7378" w:rsidRDefault="002E737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E7378" w:rsidRDefault="002E7378">
            <w:pPr>
              <w:keepNext/>
              <w:rPr>
                <w:sz w:val="22"/>
                <w:szCs w:val="22"/>
                <w:highlight w:val="yellow"/>
              </w:rPr>
            </w:pPr>
          </w:p>
        </w:tc>
      </w:tr>
      <w:tr w:rsidR="002E7378">
        <w:trPr>
          <w:jc w:val="center"/>
        </w:trPr>
        <w:tc>
          <w:tcPr>
            <w:tcW w:w="6570" w:type="dxa"/>
            <w:gridSpan w:val="4"/>
          </w:tcPr>
          <w:p w:rsidR="002E7378" w:rsidRDefault="002E7378">
            <w:pPr>
              <w:keepNext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</w:tcPr>
          <w:p w:rsidR="002E7378" w:rsidRDefault="00A94369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TOTAL:        </w:t>
            </w:r>
          </w:p>
        </w:tc>
        <w:tc>
          <w:tcPr>
            <w:tcW w:w="1384" w:type="dxa"/>
          </w:tcPr>
          <w:p w:rsidR="002E7378" w:rsidRDefault="002E7378">
            <w:pPr>
              <w:keepNext/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2E7378" w:rsidRDefault="002E7378">
      <w:pPr>
        <w:rPr>
          <w:b/>
          <w:sz w:val="22"/>
          <w:szCs w:val="22"/>
        </w:rPr>
      </w:pPr>
    </w:p>
    <w:p w:rsidR="002E7378" w:rsidRDefault="00A94369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DESCRIPTION OF SERVICES</w:t>
      </w:r>
    </w:p>
    <w:p w:rsidR="002E7378" w:rsidRDefault="002E7378">
      <w:pPr>
        <w:rPr>
          <w:b/>
          <w:sz w:val="22"/>
          <w:szCs w:val="22"/>
        </w:rPr>
      </w:pPr>
    </w:p>
    <w:p w:rsidR="002E7378" w:rsidRDefault="00A94369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 Objectives:</w:t>
      </w:r>
    </w:p>
    <w:p w:rsidR="002E7378" w:rsidRDefault="00A943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Learn how to collect and analyze data for a management study or audit.  Discover how the data shape the results and reliability of the management study or audit.</w:t>
      </w:r>
    </w:p>
    <w:p w:rsidR="002E7378" w:rsidRDefault="002E7378">
      <w:pPr>
        <w:rPr>
          <w:b/>
          <w:sz w:val="22"/>
          <w:szCs w:val="22"/>
        </w:rPr>
      </w:pPr>
    </w:p>
    <w:p w:rsidR="002E7378" w:rsidRDefault="00A943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Participates will learn: 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 a research study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Select a sampling procedure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Develop effective survey tools and instruments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Apply statistical analysis to data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Overview of the Research Process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Research in government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Phases of the research process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purpose of the study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Problem statement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Conceptualization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Operationalizing the</w:t>
      </w:r>
      <w:r>
        <w:rPr>
          <w:color w:val="000000"/>
          <w:sz w:val="22"/>
          <w:szCs w:val="22"/>
        </w:rPr>
        <w:t xml:space="preserve"> problem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State of hypothesis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Formulate research questions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Criteria for measurement quality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Research Design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Research methods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Experimental study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Experimental design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Sampling 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Kinds of sampling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Determining sample size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Sampling and non-sampling error</w:t>
      </w:r>
      <w:r>
        <w:rPr>
          <w:color w:val="000000"/>
          <w:sz w:val="22"/>
          <w:szCs w:val="22"/>
        </w:rPr>
        <w:t xml:space="preserve">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Sample table of random numbers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Collection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Kinds of data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Selected secondary data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Observation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Research application of observation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Observer-subject relationship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Guidelines for good observation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Questionnaire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Steps in developing a questionnaire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Cover letter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Parts of a questionnaire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Types of questions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Tips on writing questions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Interviewing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Types of interviews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Stages of an interview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Extract and organize the data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Types of scales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Raw data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Frequency distribution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Measures of central tendenc</w:t>
      </w:r>
      <w:r>
        <w:rPr>
          <w:color w:val="000000"/>
          <w:sz w:val="22"/>
          <w:szCs w:val="22"/>
        </w:rPr>
        <w:t xml:space="preserve">y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Measures of dispersion </w:t>
      </w:r>
    </w:p>
    <w:p w:rsidR="002E7378" w:rsidRDefault="00A94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Exercises</w:t>
      </w:r>
    </w:p>
    <w:p w:rsidR="002E7378" w:rsidRDefault="002E737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2E7378" w:rsidRDefault="00A9436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Course Requirements:</w:t>
      </w:r>
    </w:p>
    <w:p w:rsidR="002E7378" w:rsidRDefault="002E7378">
      <w:pPr>
        <w:rPr>
          <w:sz w:val="22"/>
          <w:szCs w:val="22"/>
        </w:rPr>
      </w:pP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Off the shelf Instructor led training for 25 adult students.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There shall be no mandatory prerequisites for the students to attend this course. 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Scheduled Course Time:  Course shall be Three (3) days of eight (8) hour training days with      preferred start time of 0800. 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Contractor shall provide all course materials, to include but not limited to, textbooks, handouts, sign in sheets/roster, pens, </w:t>
      </w:r>
      <w:r>
        <w:rPr>
          <w:sz w:val="22"/>
          <w:szCs w:val="22"/>
        </w:rPr>
        <w:t xml:space="preserve">paper, name tents, Easel Pads, and highlighter markers. 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Government will provide the classroom located at Marine Corps Logistics Base, Albany, Georgia.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Government provided classroom will have Government owned LCD projection unit/screens available f</w:t>
      </w:r>
      <w:r>
        <w:rPr>
          <w:sz w:val="22"/>
          <w:szCs w:val="22"/>
        </w:rPr>
        <w:t>or use.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Contractor shall provide an instructor computer and proper cabling to connect to the Government provide projection units/screens if required. 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Contractor shall provide students with takeaway reference materials.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Contractor’s responsibility to provide course materials to Government provided course classroom. 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Contractor shall provide qualified instructor(s). 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Contractor shall conduct course evaluations and submit copies to the customer at the end of each session.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ontractor shall provide the original sign in sheets/roster to the customer after course completion. </w:t>
      </w:r>
    </w:p>
    <w:p w:rsidR="002E7378" w:rsidRDefault="00A943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Contractor shall provide course completion certificates to all students at the end of the last day of training event. </w:t>
      </w:r>
    </w:p>
    <w:p w:rsidR="002E7378" w:rsidRDefault="002E7378">
      <w:pPr>
        <w:rPr>
          <w:sz w:val="22"/>
          <w:szCs w:val="22"/>
        </w:rPr>
      </w:pPr>
    </w:p>
    <w:p w:rsidR="002E7378" w:rsidRDefault="00A943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PERIOD OF PERFORMANCE </w:t>
      </w:r>
    </w:p>
    <w:p w:rsidR="002E7378" w:rsidRDefault="00A94369">
      <w:pPr>
        <w:rPr>
          <w:sz w:val="22"/>
          <w:szCs w:val="22"/>
        </w:rPr>
      </w:pPr>
      <w:r>
        <w:rPr>
          <w:sz w:val="22"/>
          <w:szCs w:val="22"/>
        </w:rPr>
        <w:t>29-31 August 2017</w:t>
      </w:r>
    </w:p>
    <w:p w:rsidR="002E7378" w:rsidRDefault="002E7378">
      <w:pPr>
        <w:rPr>
          <w:sz w:val="22"/>
          <w:szCs w:val="22"/>
        </w:rPr>
      </w:pPr>
    </w:p>
    <w:p w:rsidR="002E7378" w:rsidRDefault="00A94369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LOCATION</w:t>
      </w:r>
    </w:p>
    <w:p w:rsidR="002E7378" w:rsidRDefault="00A94369">
      <w:pPr>
        <w:rPr>
          <w:sz w:val="22"/>
          <w:szCs w:val="22"/>
        </w:rPr>
      </w:pPr>
      <w:r>
        <w:rPr>
          <w:sz w:val="22"/>
          <w:szCs w:val="22"/>
        </w:rPr>
        <w:t>The three day training event shall take place in a Government provided classroom aboard the Marine Corps Logistics Base at Albany Georgia.  Therefore, the instructor(s) must be able to obtain access to the military installati</w:t>
      </w:r>
      <w:r>
        <w:rPr>
          <w:sz w:val="22"/>
          <w:szCs w:val="22"/>
        </w:rPr>
        <w:t xml:space="preserve">on. </w:t>
      </w:r>
    </w:p>
    <w:p w:rsidR="002E7378" w:rsidRDefault="002E7378">
      <w:pPr>
        <w:rPr>
          <w:sz w:val="22"/>
          <w:szCs w:val="22"/>
        </w:rPr>
      </w:pPr>
    </w:p>
    <w:p w:rsidR="002E7378" w:rsidRDefault="002E7378">
      <w:pPr>
        <w:jc w:val="center"/>
        <w:rPr>
          <w:sz w:val="22"/>
          <w:szCs w:val="22"/>
        </w:rPr>
      </w:pPr>
    </w:p>
    <w:sectPr w:rsidR="002E737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69" w:rsidRDefault="00A94369">
      <w:r>
        <w:separator/>
      </w:r>
    </w:p>
  </w:endnote>
  <w:endnote w:type="continuationSeparator" w:id="0">
    <w:p w:rsidR="00A94369" w:rsidRDefault="00A9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78" w:rsidRDefault="00A943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77294">
      <w:rPr>
        <w:color w:val="000000"/>
      </w:rPr>
      <w:fldChar w:fldCharType="separate"/>
    </w:r>
    <w:r w:rsidR="00877294">
      <w:rPr>
        <w:noProof/>
        <w:color w:val="000000"/>
      </w:rPr>
      <w:t>3</w:t>
    </w:r>
    <w:r>
      <w:rPr>
        <w:color w:val="000000"/>
      </w:rPr>
      <w:fldChar w:fldCharType="end"/>
    </w:r>
  </w:p>
  <w:p w:rsidR="002E7378" w:rsidRDefault="002E7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69" w:rsidRDefault="00A94369">
      <w:r>
        <w:separator/>
      </w:r>
    </w:p>
  </w:footnote>
  <w:footnote w:type="continuationSeparator" w:id="0">
    <w:p w:rsidR="00A94369" w:rsidRDefault="00A9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78" w:rsidRDefault="00A94369">
    <w:pPr>
      <w:rPr>
        <w:sz w:val="22"/>
        <w:szCs w:val="22"/>
      </w:rPr>
    </w:pPr>
    <w:r>
      <w:rPr>
        <w:sz w:val="22"/>
        <w:szCs w:val="22"/>
      </w:rPr>
      <w:t>RFQ #M67004-17-Q-0084</w:t>
    </w:r>
  </w:p>
  <w:p w:rsidR="002E7378" w:rsidRDefault="002E7378">
    <w:pPr>
      <w:rPr>
        <w:sz w:val="22"/>
        <w:szCs w:val="22"/>
      </w:rPr>
    </w:pPr>
  </w:p>
  <w:p w:rsidR="002E7378" w:rsidRDefault="002E73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78" w:rsidRDefault="002E7378">
    <w:pPr>
      <w:rPr>
        <w:sz w:val="22"/>
        <w:szCs w:val="22"/>
      </w:rPr>
    </w:pPr>
  </w:p>
  <w:p w:rsidR="002E7378" w:rsidRDefault="002E73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F1E"/>
    <w:multiLevelType w:val="multilevel"/>
    <w:tmpl w:val="539C1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687512"/>
    <w:multiLevelType w:val="multilevel"/>
    <w:tmpl w:val="0C600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378"/>
    <w:rsid w:val="002E7378"/>
    <w:rsid w:val="00877294"/>
    <w:rsid w:val="00A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KarlaQawar</dc:creator>
  <cp:lastModifiedBy>KarlaQawar</cp:lastModifiedBy>
  <cp:revision>2</cp:revision>
  <dcterms:created xsi:type="dcterms:W3CDTF">2020-11-03T18:21:00Z</dcterms:created>
  <dcterms:modified xsi:type="dcterms:W3CDTF">2020-11-03T18:21:00Z</dcterms:modified>
</cp:coreProperties>
</file>