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7BD2" w:rsidRPr="00502FAD" w:rsidRDefault="004C0670" w:rsidP="007462C9">
      <w:pPr>
        <w:pStyle w:val="Heading1"/>
        <w:spacing w:before="240" w:after="120"/>
        <w:contextualSpacing w:val="0"/>
        <w:jc w:val="center"/>
        <w:rPr>
          <w:rFonts w:ascii="Times New Roman" w:hAnsi="Times New Roman" w:cs="Times New Roman"/>
          <w:sz w:val="28"/>
          <w:szCs w:val="28"/>
        </w:rPr>
      </w:pPr>
      <w:r>
        <w:rPr>
          <w:rFonts w:ascii="Times New Roman" w:hAnsi="Times New Roman" w:cs="Times New Roman"/>
          <w:sz w:val="28"/>
          <w:szCs w:val="28"/>
        </w:rPr>
        <w:t>GSA Green Building Advisory Committee</w:t>
      </w:r>
    </w:p>
    <w:p w:rsidR="003C7BD2" w:rsidRPr="00E159EF" w:rsidRDefault="00E159EF" w:rsidP="000E050E">
      <w:pPr>
        <w:pStyle w:val="Heading1"/>
        <w:spacing w:before="480" w:after="120"/>
        <w:contextualSpacing w:val="0"/>
        <w:rPr>
          <w:rFonts w:ascii="Times New Roman" w:eastAsia="Calibri" w:hAnsi="Times New Roman" w:cs="Times New Roman"/>
          <w:color w:val="auto"/>
          <w:sz w:val="22"/>
        </w:rPr>
      </w:pPr>
      <w:bookmarkStart w:id="0" w:name="h.o8gawasoks49" w:colFirst="0" w:colLast="0"/>
      <w:bookmarkStart w:id="1" w:name="h.7rlbeg16y91x" w:colFirst="0" w:colLast="0"/>
      <w:bookmarkEnd w:id="0"/>
      <w:bookmarkEnd w:id="1"/>
      <w:r w:rsidRPr="00E159EF">
        <w:rPr>
          <w:rFonts w:ascii="Times New Roman" w:eastAsia="Calibri" w:hAnsi="Times New Roman" w:cs="Times New Roman"/>
          <w:color w:val="auto"/>
          <w:sz w:val="22"/>
        </w:rPr>
        <w:t xml:space="preserve">September </w:t>
      </w:r>
      <w:r w:rsidR="00C679FB" w:rsidRPr="002B70BA">
        <w:rPr>
          <w:rFonts w:ascii="Times New Roman" w:eastAsia="Calibri" w:hAnsi="Times New Roman" w:cs="Times New Roman"/>
          <w:color w:val="auto"/>
          <w:sz w:val="22"/>
        </w:rPr>
        <w:t>10</w:t>
      </w:r>
      <w:r w:rsidRPr="00E159EF">
        <w:rPr>
          <w:rFonts w:ascii="Times New Roman" w:eastAsia="Calibri" w:hAnsi="Times New Roman" w:cs="Times New Roman"/>
          <w:color w:val="auto"/>
          <w:sz w:val="22"/>
        </w:rPr>
        <w:t>, 2014</w:t>
      </w:r>
    </w:p>
    <w:p w:rsidR="00C679FB" w:rsidRPr="007E1368" w:rsidRDefault="00C679FB" w:rsidP="007E1368">
      <w:pPr>
        <w:pStyle w:val="Heading1"/>
        <w:spacing w:before="480" w:after="120"/>
        <w:contextualSpacing w:val="0"/>
        <w:rPr>
          <w:rFonts w:ascii="Times New Roman" w:eastAsia="Calibri" w:hAnsi="Times New Roman" w:cs="Times New Roman"/>
          <w:color w:val="auto"/>
          <w:sz w:val="22"/>
        </w:rPr>
      </w:pPr>
      <w:r w:rsidRPr="007E1368">
        <w:rPr>
          <w:rFonts w:ascii="Times New Roman" w:eastAsia="Calibri" w:hAnsi="Times New Roman" w:cs="Times New Roman"/>
          <w:color w:val="auto"/>
          <w:sz w:val="22"/>
        </w:rPr>
        <w:t xml:space="preserve">Kevin </w:t>
      </w:r>
      <w:proofErr w:type="spellStart"/>
      <w:r w:rsidRPr="007E1368">
        <w:rPr>
          <w:rFonts w:ascii="Times New Roman" w:eastAsia="Calibri" w:hAnsi="Times New Roman" w:cs="Times New Roman"/>
          <w:color w:val="auto"/>
          <w:sz w:val="22"/>
        </w:rPr>
        <w:t>Kampschroer</w:t>
      </w:r>
      <w:proofErr w:type="spellEnd"/>
      <w:r w:rsidR="007E1368">
        <w:rPr>
          <w:rFonts w:ascii="Times New Roman" w:eastAsia="Calibri" w:hAnsi="Times New Roman" w:cs="Times New Roman"/>
          <w:color w:val="auto"/>
          <w:sz w:val="22"/>
        </w:rPr>
        <w:br/>
      </w:r>
      <w:r w:rsidRPr="007E1368">
        <w:rPr>
          <w:rFonts w:ascii="Times New Roman" w:eastAsia="Calibri" w:hAnsi="Times New Roman" w:cs="Times New Roman"/>
          <w:color w:val="auto"/>
          <w:sz w:val="22"/>
        </w:rPr>
        <w:t>Director, Office of Federal High-Performance Green Buildings </w:t>
      </w:r>
      <w:r w:rsidR="007E1368">
        <w:rPr>
          <w:rFonts w:ascii="Times New Roman" w:eastAsia="Calibri" w:hAnsi="Times New Roman" w:cs="Times New Roman"/>
          <w:color w:val="auto"/>
          <w:sz w:val="22"/>
        </w:rPr>
        <w:br/>
      </w:r>
      <w:r w:rsidRPr="007E1368">
        <w:rPr>
          <w:rFonts w:ascii="Times New Roman" w:eastAsia="Calibri" w:hAnsi="Times New Roman" w:cs="Times New Roman"/>
          <w:color w:val="auto"/>
          <w:sz w:val="22"/>
        </w:rPr>
        <w:t>U.S. General Services Administration (GSA)</w:t>
      </w:r>
    </w:p>
    <w:p w:rsidR="00E159EF" w:rsidRPr="00E159EF" w:rsidRDefault="00E159EF" w:rsidP="00E159EF">
      <w:pPr>
        <w:pStyle w:val="Normal1"/>
        <w:rPr>
          <w:rFonts w:ascii="Times New Roman" w:hAnsi="Times New Roman" w:cs="Times New Roman"/>
        </w:rPr>
      </w:pPr>
    </w:p>
    <w:p w:rsidR="00E159EF" w:rsidRPr="00E159EF" w:rsidRDefault="00E159EF" w:rsidP="00E159EF">
      <w:pPr>
        <w:pStyle w:val="Normal1"/>
        <w:rPr>
          <w:rFonts w:ascii="Times New Roman" w:hAnsi="Times New Roman" w:cs="Times New Roman"/>
        </w:rPr>
      </w:pPr>
      <w:r w:rsidRPr="00E159EF">
        <w:rPr>
          <w:rFonts w:ascii="Times New Roman" w:hAnsi="Times New Roman" w:cs="Times New Roman"/>
        </w:rPr>
        <w:t xml:space="preserve">RE: </w:t>
      </w:r>
      <w:r w:rsidR="007462C9">
        <w:rPr>
          <w:rFonts w:ascii="Times New Roman" w:hAnsi="Times New Roman" w:cs="Times New Roman"/>
        </w:rPr>
        <w:t>Recommendations for the Adoption of Net Zero Energy Buildings by All Federal Agencies</w:t>
      </w:r>
    </w:p>
    <w:p w:rsidR="00E159EF" w:rsidRPr="00E159EF" w:rsidRDefault="00E159EF" w:rsidP="00E159EF">
      <w:pPr>
        <w:pStyle w:val="Normal1"/>
        <w:rPr>
          <w:rFonts w:ascii="Times New Roman" w:hAnsi="Times New Roman" w:cs="Times New Roman"/>
        </w:rPr>
      </w:pPr>
    </w:p>
    <w:p w:rsidR="00E159EF" w:rsidRPr="00E159EF" w:rsidRDefault="00952268" w:rsidP="00E159EF">
      <w:pPr>
        <w:pStyle w:val="Normal1"/>
        <w:rPr>
          <w:rFonts w:ascii="Times New Roman" w:hAnsi="Times New Roman" w:cs="Times New Roman"/>
        </w:rPr>
      </w:pPr>
      <w:r>
        <w:rPr>
          <w:rFonts w:ascii="Times New Roman" w:hAnsi="Times New Roman" w:cs="Times New Roman"/>
        </w:rPr>
        <w:t xml:space="preserve">Dear Mr. </w:t>
      </w:r>
      <w:proofErr w:type="spellStart"/>
      <w:r w:rsidRPr="007E1368">
        <w:rPr>
          <w:rFonts w:ascii="Times New Roman" w:eastAsia="Calibri" w:hAnsi="Times New Roman" w:cs="Times New Roman"/>
          <w:color w:val="auto"/>
        </w:rPr>
        <w:t>Kampschroer</w:t>
      </w:r>
      <w:proofErr w:type="spellEnd"/>
      <w:r w:rsidR="007462C9" w:rsidRPr="007462C9">
        <w:rPr>
          <w:rFonts w:ascii="Times New Roman" w:hAnsi="Times New Roman" w:cs="Times New Roman"/>
        </w:rPr>
        <w:t>:</w:t>
      </w:r>
    </w:p>
    <w:p w:rsidR="007462C9" w:rsidRDefault="007462C9">
      <w:pPr>
        <w:pStyle w:val="Normal1"/>
        <w:rPr>
          <w:rFonts w:ascii="Times New Roman" w:eastAsia="Calibri" w:hAnsi="Times New Roman" w:cs="Times New Roman"/>
          <w:color w:val="auto"/>
        </w:rPr>
      </w:pPr>
    </w:p>
    <w:p w:rsidR="00060B8D" w:rsidRPr="00502FAD" w:rsidRDefault="008F33A7" w:rsidP="00952268">
      <w:pPr>
        <w:pStyle w:val="Normal10"/>
        <w:spacing w:after="120"/>
        <w:rPr>
          <w:rFonts w:ascii="Times New Roman" w:eastAsia="Calibri" w:hAnsi="Times New Roman" w:cs="Times New Roman"/>
          <w:color w:val="auto"/>
          <w:szCs w:val="22"/>
        </w:rPr>
      </w:pPr>
      <w:r w:rsidRPr="00502FAD">
        <w:rPr>
          <w:rFonts w:ascii="Times New Roman" w:eastAsia="Calibri" w:hAnsi="Times New Roman" w:cs="Times New Roman"/>
          <w:color w:val="auto"/>
          <w:szCs w:val="22"/>
        </w:rPr>
        <w:t xml:space="preserve">This document summarizes the </w:t>
      </w:r>
      <w:r w:rsidR="004C0670">
        <w:rPr>
          <w:rFonts w:ascii="Times New Roman" w:eastAsia="Calibri" w:hAnsi="Times New Roman" w:cs="Times New Roman"/>
          <w:color w:val="auto"/>
          <w:szCs w:val="22"/>
        </w:rPr>
        <w:t xml:space="preserve">recommendations of the </w:t>
      </w:r>
      <w:r w:rsidRPr="00502FAD">
        <w:rPr>
          <w:rFonts w:ascii="Times New Roman" w:eastAsia="Calibri" w:hAnsi="Times New Roman" w:cs="Times New Roman"/>
          <w:color w:val="auto"/>
          <w:szCs w:val="22"/>
        </w:rPr>
        <w:t>Green Building Advisory Committee (GBAC)</w:t>
      </w:r>
      <w:r w:rsidR="00944929" w:rsidRPr="00502FAD">
        <w:rPr>
          <w:rFonts w:ascii="Times New Roman" w:eastAsia="Calibri" w:hAnsi="Times New Roman" w:cs="Times New Roman"/>
          <w:color w:val="auto"/>
          <w:szCs w:val="22"/>
        </w:rPr>
        <w:t>,</w:t>
      </w:r>
      <w:r w:rsidRPr="00502FAD">
        <w:rPr>
          <w:rFonts w:ascii="Times New Roman" w:eastAsia="Calibri" w:hAnsi="Times New Roman" w:cs="Times New Roman"/>
          <w:color w:val="auto"/>
          <w:szCs w:val="22"/>
        </w:rPr>
        <w:t xml:space="preserve"> with the purpose of making recommendations </w:t>
      </w:r>
      <w:r w:rsidR="00174B89" w:rsidRPr="00502FAD">
        <w:rPr>
          <w:rFonts w:ascii="Times New Roman" w:eastAsia="Calibri" w:hAnsi="Times New Roman" w:cs="Times New Roman"/>
          <w:color w:val="auto"/>
          <w:szCs w:val="22"/>
        </w:rPr>
        <w:t>that will</w:t>
      </w:r>
      <w:r w:rsidRPr="00502FAD">
        <w:rPr>
          <w:rFonts w:ascii="Times New Roman" w:eastAsia="Calibri" w:hAnsi="Times New Roman" w:cs="Times New Roman"/>
          <w:color w:val="auto"/>
          <w:szCs w:val="22"/>
        </w:rPr>
        <w:t xml:space="preserve"> strengthen the </w:t>
      </w:r>
      <w:r w:rsidR="00EE065C">
        <w:rPr>
          <w:rFonts w:ascii="Times New Roman" w:eastAsia="Calibri" w:hAnsi="Times New Roman" w:cs="Times New Roman"/>
          <w:color w:val="auto"/>
          <w:szCs w:val="22"/>
        </w:rPr>
        <w:t>federal</w:t>
      </w:r>
      <w:r w:rsidRPr="00502FAD">
        <w:rPr>
          <w:rFonts w:ascii="Times New Roman" w:eastAsia="Calibri" w:hAnsi="Times New Roman" w:cs="Times New Roman"/>
          <w:color w:val="auto"/>
          <w:szCs w:val="22"/>
        </w:rPr>
        <w:t xml:space="preserve"> </w:t>
      </w:r>
      <w:r w:rsidR="00517087">
        <w:rPr>
          <w:rFonts w:ascii="Times New Roman" w:eastAsia="Calibri" w:hAnsi="Times New Roman" w:cs="Times New Roman"/>
          <w:color w:val="auto"/>
          <w:szCs w:val="22"/>
        </w:rPr>
        <w:t>government</w:t>
      </w:r>
      <w:r w:rsidRPr="00502FAD">
        <w:rPr>
          <w:rFonts w:ascii="Times New Roman" w:eastAsia="Calibri" w:hAnsi="Times New Roman" w:cs="Times New Roman"/>
          <w:color w:val="auto"/>
          <w:szCs w:val="22"/>
        </w:rPr>
        <w:t xml:space="preserve">’s net zero energy commitments </w:t>
      </w:r>
      <w:r w:rsidR="00516A0D" w:rsidRPr="00502FAD">
        <w:rPr>
          <w:rFonts w:ascii="Times New Roman" w:eastAsia="Calibri" w:hAnsi="Times New Roman" w:cs="Times New Roman"/>
          <w:color w:val="auto"/>
          <w:szCs w:val="22"/>
        </w:rPr>
        <w:t xml:space="preserve">and align with current legislative and executive mandates and directives. </w:t>
      </w:r>
      <w:r w:rsidR="00DC1DC5" w:rsidRPr="00502FAD">
        <w:rPr>
          <w:rFonts w:ascii="Times New Roman" w:eastAsia="Calibri" w:hAnsi="Times New Roman" w:cs="Times New Roman"/>
          <w:color w:val="auto"/>
          <w:szCs w:val="22"/>
        </w:rPr>
        <w:t xml:space="preserve">The recommendations described here are strong, and will bring the </w:t>
      </w:r>
      <w:r w:rsidR="00EE065C">
        <w:rPr>
          <w:rFonts w:ascii="Times New Roman" w:eastAsia="Calibri" w:hAnsi="Times New Roman" w:cs="Times New Roman"/>
          <w:color w:val="auto"/>
          <w:szCs w:val="22"/>
        </w:rPr>
        <w:t>federal</w:t>
      </w:r>
      <w:r w:rsidR="00DC1DC5" w:rsidRPr="00502FAD">
        <w:rPr>
          <w:rFonts w:ascii="Times New Roman" w:eastAsia="Calibri" w:hAnsi="Times New Roman" w:cs="Times New Roman"/>
          <w:color w:val="auto"/>
          <w:szCs w:val="22"/>
        </w:rPr>
        <w:t xml:space="preserve"> commitment in line with existing policy in California and elsewhere. Adoption of this policy will result in </w:t>
      </w:r>
      <w:r w:rsidR="00EA74EF" w:rsidRPr="00502FAD">
        <w:rPr>
          <w:rFonts w:ascii="Times New Roman" w:eastAsia="Calibri" w:hAnsi="Times New Roman" w:cs="Times New Roman"/>
          <w:color w:val="auto"/>
          <w:szCs w:val="22"/>
        </w:rPr>
        <w:t xml:space="preserve">immediate operational cost savings, </w:t>
      </w:r>
      <w:r w:rsidR="00F465A4" w:rsidRPr="00502FAD">
        <w:rPr>
          <w:rFonts w:ascii="Times New Roman" w:eastAsia="Calibri" w:hAnsi="Times New Roman" w:cs="Times New Roman"/>
          <w:color w:val="auto"/>
          <w:szCs w:val="22"/>
        </w:rPr>
        <w:t>will be the</w:t>
      </w:r>
      <w:r w:rsidR="00EA74EF" w:rsidRPr="00502FAD">
        <w:rPr>
          <w:rFonts w:ascii="Times New Roman" w:eastAsia="Calibri" w:hAnsi="Times New Roman" w:cs="Times New Roman"/>
          <w:color w:val="auto"/>
          <w:szCs w:val="22"/>
        </w:rPr>
        <w:t xml:space="preserve"> most fiscally sound long</w:t>
      </w:r>
      <w:r w:rsidR="00F465A4" w:rsidRPr="00502FAD">
        <w:rPr>
          <w:rFonts w:ascii="Times New Roman" w:eastAsia="Calibri" w:hAnsi="Times New Roman" w:cs="Times New Roman"/>
          <w:color w:val="auto"/>
          <w:szCs w:val="22"/>
        </w:rPr>
        <w:t>-</w:t>
      </w:r>
      <w:r w:rsidR="00EA74EF" w:rsidRPr="00502FAD">
        <w:rPr>
          <w:rFonts w:ascii="Times New Roman" w:eastAsia="Calibri" w:hAnsi="Times New Roman" w:cs="Times New Roman"/>
          <w:color w:val="auto"/>
          <w:szCs w:val="22"/>
        </w:rPr>
        <w:t xml:space="preserve">term </w:t>
      </w:r>
      <w:r w:rsidR="00F465A4" w:rsidRPr="00502FAD">
        <w:rPr>
          <w:rFonts w:ascii="Times New Roman" w:eastAsia="Calibri" w:hAnsi="Times New Roman" w:cs="Times New Roman"/>
          <w:color w:val="auto"/>
          <w:szCs w:val="22"/>
        </w:rPr>
        <w:t xml:space="preserve">strategy for the </w:t>
      </w:r>
      <w:r w:rsidR="00EE065C">
        <w:rPr>
          <w:rFonts w:ascii="Times New Roman" w:eastAsia="Calibri" w:hAnsi="Times New Roman" w:cs="Times New Roman"/>
          <w:color w:val="auto"/>
          <w:szCs w:val="22"/>
        </w:rPr>
        <w:t>federal</w:t>
      </w:r>
      <w:r w:rsidR="00F465A4" w:rsidRPr="00502FAD">
        <w:rPr>
          <w:rFonts w:ascii="Times New Roman" w:eastAsia="Calibri" w:hAnsi="Times New Roman" w:cs="Times New Roman"/>
          <w:color w:val="auto"/>
          <w:szCs w:val="22"/>
        </w:rPr>
        <w:t xml:space="preserve"> building portfolio</w:t>
      </w:r>
      <w:r w:rsidR="005F79D0">
        <w:rPr>
          <w:rFonts w:ascii="Times New Roman" w:eastAsia="Calibri" w:hAnsi="Times New Roman" w:cs="Times New Roman"/>
          <w:color w:val="auto"/>
          <w:szCs w:val="22"/>
        </w:rPr>
        <w:t xml:space="preserve">, and will help </w:t>
      </w:r>
      <w:r w:rsidR="00C47C83" w:rsidRPr="00502FAD">
        <w:rPr>
          <w:rFonts w:ascii="Times New Roman" w:eastAsia="Calibri" w:hAnsi="Times New Roman" w:cs="Times New Roman"/>
          <w:color w:val="auto"/>
          <w:szCs w:val="22"/>
        </w:rPr>
        <w:t xml:space="preserve">the </w:t>
      </w:r>
      <w:r w:rsidR="00EE065C">
        <w:rPr>
          <w:rFonts w:ascii="Times New Roman" w:eastAsia="Calibri" w:hAnsi="Times New Roman" w:cs="Times New Roman"/>
          <w:color w:val="auto"/>
          <w:szCs w:val="22"/>
        </w:rPr>
        <w:t>federal</w:t>
      </w:r>
      <w:r w:rsidR="00C47C83" w:rsidRPr="00502FAD">
        <w:rPr>
          <w:rFonts w:ascii="Times New Roman" w:eastAsia="Calibri" w:hAnsi="Times New Roman" w:cs="Times New Roman"/>
          <w:color w:val="auto"/>
          <w:szCs w:val="22"/>
        </w:rPr>
        <w:t xml:space="preserve"> </w:t>
      </w:r>
      <w:r w:rsidR="00F465A4" w:rsidRPr="00502FAD">
        <w:rPr>
          <w:rFonts w:ascii="Times New Roman" w:eastAsia="Calibri" w:hAnsi="Times New Roman" w:cs="Times New Roman"/>
          <w:color w:val="auto"/>
          <w:szCs w:val="22"/>
        </w:rPr>
        <w:t>g</w:t>
      </w:r>
      <w:r w:rsidR="00C47C83" w:rsidRPr="00502FAD">
        <w:rPr>
          <w:rFonts w:ascii="Times New Roman" w:eastAsia="Calibri" w:hAnsi="Times New Roman" w:cs="Times New Roman"/>
          <w:color w:val="auto"/>
          <w:szCs w:val="22"/>
        </w:rPr>
        <w:t xml:space="preserve">overnment </w:t>
      </w:r>
      <w:r w:rsidR="00F465A4" w:rsidRPr="00502FAD">
        <w:rPr>
          <w:rFonts w:ascii="Times New Roman" w:eastAsia="Calibri" w:hAnsi="Times New Roman" w:cs="Times New Roman"/>
          <w:color w:val="auto"/>
          <w:szCs w:val="22"/>
        </w:rPr>
        <w:t>lead the NZEB movement</w:t>
      </w:r>
      <w:r w:rsidR="00944929" w:rsidRPr="00502FAD">
        <w:rPr>
          <w:rFonts w:ascii="Times New Roman" w:eastAsia="Calibri" w:hAnsi="Times New Roman" w:cs="Times New Roman"/>
          <w:color w:val="auto"/>
          <w:szCs w:val="22"/>
        </w:rPr>
        <w:t xml:space="preserve"> in the United States.</w:t>
      </w:r>
    </w:p>
    <w:p w:rsidR="005C5256" w:rsidRDefault="005C5256" w:rsidP="00952268">
      <w:pPr>
        <w:pStyle w:val="Normal10"/>
        <w:spacing w:after="120"/>
        <w:rPr>
          <w:rFonts w:ascii="Times New Roman" w:eastAsia="Calibri" w:hAnsi="Times New Roman" w:cs="Times New Roman"/>
          <w:color w:val="auto"/>
          <w:szCs w:val="22"/>
        </w:rPr>
      </w:pPr>
      <w:r w:rsidRPr="00502FAD">
        <w:rPr>
          <w:rFonts w:ascii="Times New Roman" w:hAnsi="Times New Roman" w:cs="Times New Roman"/>
        </w:rPr>
        <w:t xml:space="preserve">The overarching goal </w:t>
      </w:r>
      <w:r w:rsidR="004C0670">
        <w:rPr>
          <w:rFonts w:ascii="Times New Roman" w:hAnsi="Times New Roman" w:cs="Times New Roman"/>
        </w:rPr>
        <w:t>recommended</w:t>
      </w:r>
      <w:r w:rsidR="00FD6C4D">
        <w:rPr>
          <w:rFonts w:ascii="Times New Roman" w:hAnsi="Times New Roman" w:cs="Times New Roman"/>
        </w:rPr>
        <w:t xml:space="preserve"> by the </w:t>
      </w:r>
      <w:r w:rsidR="004C0670">
        <w:rPr>
          <w:rFonts w:ascii="Times New Roman" w:hAnsi="Times New Roman" w:cs="Times New Roman"/>
        </w:rPr>
        <w:t>GBAC</w:t>
      </w:r>
      <w:r w:rsidRPr="00502FAD">
        <w:rPr>
          <w:rFonts w:ascii="Times New Roman" w:hAnsi="Times New Roman" w:cs="Times New Roman"/>
        </w:rPr>
        <w:t xml:space="preserve"> is </w:t>
      </w:r>
      <w:r w:rsidRPr="00502FAD">
        <w:rPr>
          <w:rFonts w:ascii="Times New Roman" w:hAnsi="Times New Roman" w:cs="Times New Roman"/>
          <w:b/>
        </w:rPr>
        <w:t xml:space="preserve">for the </w:t>
      </w:r>
      <w:r w:rsidR="00EE065C">
        <w:rPr>
          <w:rFonts w:ascii="Times New Roman" w:hAnsi="Times New Roman" w:cs="Times New Roman"/>
          <w:b/>
        </w:rPr>
        <w:t>federal</w:t>
      </w:r>
      <w:r w:rsidRPr="00502FAD">
        <w:rPr>
          <w:rFonts w:ascii="Times New Roman" w:hAnsi="Times New Roman" w:cs="Times New Roman"/>
          <w:b/>
        </w:rPr>
        <w:t xml:space="preserve"> government to verify at least 50% of their building </w:t>
      </w:r>
      <w:r>
        <w:rPr>
          <w:rFonts w:ascii="Times New Roman" w:hAnsi="Times New Roman" w:cs="Times New Roman"/>
          <w:b/>
        </w:rPr>
        <w:t>area</w:t>
      </w:r>
      <w:r w:rsidRPr="00502FAD">
        <w:rPr>
          <w:rFonts w:ascii="Times New Roman" w:hAnsi="Times New Roman" w:cs="Times New Roman"/>
          <w:b/>
        </w:rPr>
        <w:t xml:space="preserve"> to achieve </w:t>
      </w:r>
      <w:r w:rsidR="005F79D0">
        <w:rPr>
          <w:rFonts w:ascii="Times New Roman" w:hAnsi="Times New Roman" w:cs="Times New Roman"/>
          <w:b/>
        </w:rPr>
        <w:t>net zero energy (</w:t>
      </w:r>
      <w:r w:rsidRPr="00502FAD">
        <w:rPr>
          <w:rFonts w:ascii="Times New Roman" w:hAnsi="Times New Roman" w:cs="Times New Roman"/>
          <w:b/>
        </w:rPr>
        <w:t>NZE</w:t>
      </w:r>
      <w:r w:rsidR="005F79D0">
        <w:rPr>
          <w:rFonts w:ascii="Times New Roman" w:hAnsi="Times New Roman" w:cs="Times New Roman"/>
          <w:b/>
        </w:rPr>
        <w:t>)</w:t>
      </w:r>
      <w:r w:rsidRPr="00502FAD">
        <w:rPr>
          <w:rFonts w:ascii="Times New Roman" w:hAnsi="Times New Roman" w:cs="Times New Roman"/>
          <w:b/>
        </w:rPr>
        <w:t xml:space="preserve"> by 2030</w:t>
      </w:r>
      <w:r w:rsidRPr="00502FAD">
        <w:rPr>
          <w:rFonts w:ascii="Times New Roman" w:hAnsi="Times New Roman" w:cs="Times New Roman"/>
        </w:rPr>
        <w:t>. This goal can be achieved through new construction projects, planned renovation projects, new retrofit projects designed to help meet these NZE goals, or leasing NZEBs.</w:t>
      </w:r>
      <w:r w:rsidRPr="005C5256">
        <w:rPr>
          <w:rFonts w:ascii="Times New Roman" w:eastAsia="Calibri" w:hAnsi="Times New Roman" w:cs="Times New Roman"/>
          <w:color w:val="auto"/>
          <w:szCs w:val="22"/>
        </w:rPr>
        <w:t xml:space="preserve"> </w:t>
      </w:r>
      <w:r w:rsidR="00957EA7">
        <w:rPr>
          <w:rFonts w:ascii="Times New Roman" w:eastAsia="Calibri" w:hAnsi="Times New Roman" w:cs="Times New Roman"/>
          <w:color w:val="auto"/>
        </w:rPr>
        <w:t>I</w:t>
      </w:r>
      <w:r w:rsidR="00957EA7" w:rsidRPr="00E159EF">
        <w:rPr>
          <w:rFonts w:ascii="Times New Roman" w:eastAsia="Calibri" w:hAnsi="Times New Roman" w:cs="Times New Roman"/>
          <w:color w:val="auto"/>
        </w:rPr>
        <w:t xml:space="preserve">nterim goals are </w:t>
      </w:r>
      <w:r w:rsidR="00957EA7">
        <w:rPr>
          <w:rFonts w:ascii="Times New Roman" w:eastAsia="Calibri" w:hAnsi="Times New Roman" w:cs="Times New Roman"/>
          <w:color w:val="auto"/>
        </w:rPr>
        <w:t>provided</w:t>
      </w:r>
      <w:r w:rsidR="00957EA7" w:rsidRPr="00E159EF">
        <w:rPr>
          <w:rFonts w:ascii="Times New Roman" w:eastAsia="Calibri" w:hAnsi="Times New Roman" w:cs="Times New Roman"/>
          <w:color w:val="auto"/>
        </w:rPr>
        <w:t xml:space="preserve"> to </w:t>
      </w:r>
      <w:r w:rsidR="00957EA7">
        <w:rPr>
          <w:rFonts w:ascii="Times New Roman" w:eastAsia="Calibri" w:hAnsi="Times New Roman" w:cs="Times New Roman"/>
          <w:color w:val="auto"/>
        </w:rPr>
        <w:t>foster</w:t>
      </w:r>
      <w:r w:rsidR="00957EA7" w:rsidRPr="00E159EF">
        <w:rPr>
          <w:rFonts w:ascii="Times New Roman" w:eastAsia="Calibri" w:hAnsi="Times New Roman" w:cs="Times New Roman"/>
          <w:color w:val="auto"/>
        </w:rPr>
        <w:t xml:space="preserve"> the growth of NZEB practices in the </w:t>
      </w:r>
      <w:r w:rsidR="00957EA7">
        <w:rPr>
          <w:rFonts w:ascii="Times New Roman" w:eastAsia="Calibri" w:hAnsi="Times New Roman" w:cs="Times New Roman"/>
          <w:color w:val="auto"/>
        </w:rPr>
        <w:t>federal</w:t>
      </w:r>
      <w:r w:rsidR="00957EA7" w:rsidRPr="00E159EF">
        <w:rPr>
          <w:rFonts w:ascii="Times New Roman" w:eastAsia="Calibri" w:hAnsi="Times New Roman" w:cs="Times New Roman"/>
          <w:color w:val="auto"/>
        </w:rPr>
        <w:t xml:space="preserve"> government</w:t>
      </w:r>
      <w:r w:rsidR="00957EA7">
        <w:rPr>
          <w:rFonts w:ascii="Times New Roman" w:eastAsia="Calibri" w:hAnsi="Times New Roman" w:cs="Times New Roman"/>
          <w:color w:val="auto"/>
        </w:rPr>
        <w:t xml:space="preserve"> as described in Section </w:t>
      </w:r>
      <w:r w:rsidR="00D71114">
        <w:rPr>
          <w:rFonts w:ascii="Times New Roman" w:eastAsia="Calibri" w:hAnsi="Times New Roman" w:cs="Times New Roman"/>
          <w:color w:val="auto"/>
        </w:rPr>
        <w:t>3</w:t>
      </w:r>
      <w:r w:rsidR="00957EA7">
        <w:rPr>
          <w:rFonts w:ascii="Times New Roman" w:eastAsia="Calibri" w:hAnsi="Times New Roman" w:cs="Times New Roman"/>
          <w:color w:val="auto"/>
        </w:rPr>
        <w:t>.</w:t>
      </w:r>
    </w:p>
    <w:p w:rsidR="000D7E1E" w:rsidRPr="007462C9" w:rsidRDefault="00957EA7" w:rsidP="00952268">
      <w:pPr>
        <w:pStyle w:val="Normal10"/>
        <w:spacing w:after="120"/>
        <w:rPr>
          <w:rFonts w:ascii="Times New Roman" w:eastAsia="Calibri" w:hAnsi="Times New Roman" w:cs="Times New Roman"/>
          <w:color w:val="auto"/>
          <w:szCs w:val="22"/>
        </w:rPr>
      </w:pPr>
      <w:r>
        <w:rPr>
          <w:rFonts w:ascii="Times New Roman" w:eastAsia="Calibri" w:hAnsi="Times New Roman" w:cs="Times New Roman"/>
          <w:color w:val="auto"/>
          <w:szCs w:val="22"/>
        </w:rPr>
        <w:t xml:space="preserve">This paper describes the goals of the </w:t>
      </w:r>
      <w:r w:rsidR="00FD6C4D">
        <w:rPr>
          <w:rFonts w:ascii="Times New Roman" w:eastAsia="Calibri" w:hAnsi="Times New Roman" w:cs="Times New Roman"/>
          <w:color w:val="auto"/>
          <w:szCs w:val="22"/>
        </w:rPr>
        <w:t>committee</w:t>
      </w:r>
      <w:r>
        <w:rPr>
          <w:rFonts w:ascii="Times New Roman" w:eastAsia="Calibri" w:hAnsi="Times New Roman" w:cs="Times New Roman"/>
          <w:color w:val="auto"/>
          <w:szCs w:val="22"/>
        </w:rPr>
        <w:t xml:space="preserve"> and </w:t>
      </w:r>
      <w:r w:rsidR="000D7E1E" w:rsidRPr="007462C9">
        <w:rPr>
          <w:rFonts w:ascii="Times New Roman" w:eastAsia="Calibri" w:hAnsi="Times New Roman" w:cs="Times New Roman"/>
          <w:color w:val="auto"/>
          <w:szCs w:val="22"/>
        </w:rPr>
        <w:t>serve</w:t>
      </w:r>
      <w:r w:rsidR="00CE1824" w:rsidRPr="007462C9">
        <w:rPr>
          <w:rFonts w:ascii="Times New Roman" w:eastAsia="Calibri" w:hAnsi="Times New Roman" w:cs="Times New Roman"/>
          <w:color w:val="auto"/>
          <w:szCs w:val="22"/>
        </w:rPr>
        <w:t>s</w:t>
      </w:r>
      <w:r w:rsidR="000D7E1E" w:rsidRPr="007462C9">
        <w:rPr>
          <w:rFonts w:ascii="Times New Roman" w:eastAsia="Calibri" w:hAnsi="Times New Roman" w:cs="Times New Roman"/>
          <w:color w:val="auto"/>
          <w:szCs w:val="22"/>
        </w:rPr>
        <w:t xml:space="preserve"> as a roadmap for the GSA and other federal agencies </w:t>
      </w:r>
      <w:r w:rsidR="00CE1824" w:rsidRPr="007462C9">
        <w:rPr>
          <w:rFonts w:ascii="Times New Roman" w:eastAsia="Calibri" w:hAnsi="Times New Roman" w:cs="Times New Roman"/>
          <w:color w:val="auto"/>
          <w:szCs w:val="22"/>
        </w:rPr>
        <w:t>to</w:t>
      </w:r>
      <w:r w:rsidR="000D7E1E" w:rsidRPr="007462C9">
        <w:rPr>
          <w:rFonts w:ascii="Times New Roman" w:eastAsia="Calibri" w:hAnsi="Times New Roman" w:cs="Times New Roman"/>
          <w:color w:val="auto"/>
          <w:szCs w:val="22"/>
        </w:rPr>
        <w:t xml:space="preserve"> drive their existing building portfolios toward net zero energy.</w:t>
      </w:r>
    </w:p>
    <w:p w:rsidR="003C7BD2" w:rsidRPr="00E159EF" w:rsidRDefault="003C7BD2">
      <w:pPr>
        <w:pStyle w:val="Normal1"/>
        <w:rPr>
          <w:rFonts w:ascii="Times New Roman" w:hAnsi="Times New Roman" w:cs="Times New Roman"/>
          <w:color w:val="auto"/>
        </w:rPr>
      </w:pPr>
    </w:p>
    <w:p w:rsidR="003C7BD2" w:rsidRPr="00502FAD" w:rsidRDefault="007462C9">
      <w:pPr>
        <w:pStyle w:val="Normal1"/>
        <w:rPr>
          <w:rFonts w:ascii="Times New Roman" w:hAnsi="Times New Roman" w:cs="Times New Roman"/>
          <w:b/>
          <w:color w:val="auto"/>
          <w:sz w:val="24"/>
        </w:rPr>
      </w:pPr>
      <w:r w:rsidRPr="00502FAD">
        <w:rPr>
          <w:rFonts w:ascii="Times New Roman" w:eastAsia="Calibri" w:hAnsi="Times New Roman" w:cs="Times New Roman"/>
          <w:b/>
          <w:color w:val="auto"/>
          <w:sz w:val="24"/>
        </w:rPr>
        <w:t xml:space="preserve">Section 1: </w:t>
      </w:r>
      <w:r w:rsidR="00EE3AF8">
        <w:rPr>
          <w:rFonts w:ascii="Times New Roman" w:eastAsia="Calibri" w:hAnsi="Times New Roman" w:cs="Times New Roman"/>
          <w:b/>
          <w:color w:val="auto"/>
          <w:sz w:val="24"/>
        </w:rPr>
        <w:t xml:space="preserve">Purpose </w:t>
      </w:r>
      <w:r w:rsidR="00957EA7">
        <w:rPr>
          <w:rFonts w:ascii="Times New Roman" w:eastAsia="Calibri" w:hAnsi="Times New Roman" w:cs="Times New Roman"/>
          <w:b/>
          <w:color w:val="auto"/>
          <w:sz w:val="24"/>
        </w:rPr>
        <w:t xml:space="preserve">of the Net Zero Energy Buildings Task </w:t>
      </w:r>
      <w:r w:rsidR="009B3751">
        <w:rPr>
          <w:rFonts w:ascii="Times New Roman" w:eastAsia="Calibri" w:hAnsi="Times New Roman" w:cs="Times New Roman"/>
          <w:b/>
          <w:color w:val="auto"/>
          <w:sz w:val="24"/>
        </w:rPr>
        <w:t>Group</w:t>
      </w:r>
    </w:p>
    <w:p w:rsidR="00944929" w:rsidRPr="00E159EF" w:rsidRDefault="003C7BD2" w:rsidP="00B57E42">
      <w:pPr>
        <w:rPr>
          <w:rFonts w:ascii="Times New Roman" w:hAnsi="Times New Roman" w:cs="Times New Roman"/>
        </w:rPr>
      </w:pPr>
      <w:r w:rsidRPr="00E159EF">
        <w:rPr>
          <w:rFonts w:ascii="Times New Roman" w:hAnsi="Times New Roman" w:cs="Times New Roman"/>
        </w:rPr>
        <w:t>The Green Building Advisory Committee (GBAC) established th</w:t>
      </w:r>
      <w:r w:rsidR="00CE1824" w:rsidRPr="00E159EF">
        <w:rPr>
          <w:rFonts w:ascii="Times New Roman" w:hAnsi="Times New Roman" w:cs="Times New Roman"/>
        </w:rPr>
        <w:t>e Net Zero Energy Buildings</w:t>
      </w:r>
      <w:r w:rsidRPr="00E159EF">
        <w:rPr>
          <w:rFonts w:ascii="Times New Roman" w:hAnsi="Times New Roman" w:cs="Times New Roman"/>
        </w:rPr>
        <w:t xml:space="preserve"> task </w:t>
      </w:r>
      <w:r w:rsidR="009B3751">
        <w:rPr>
          <w:rFonts w:ascii="Times New Roman" w:hAnsi="Times New Roman" w:cs="Times New Roman"/>
        </w:rPr>
        <w:t>group</w:t>
      </w:r>
      <w:r w:rsidRPr="00E159EF">
        <w:rPr>
          <w:rFonts w:ascii="Times New Roman" w:hAnsi="Times New Roman" w:cs="Times New Roman"/>
        </w:rPr>
        <w:t xml:space="preserve"> to recommend how the </w:t>
      </w:r>
      <w:r w:rsidR="00EE065C">
        <w:rPr>
          <w:rFonts w:ascii="Times New Roman" w:hAnsi="Times New Roman" w:cs="Times New Roman"/>
        </w:rPr>
        <w:t>federal</w:t>
      </w:r>
      <w:r w:rsidRPr="00E159EF">
        <w:rPr>
          <w:rFonts w:ascii="Times New Roman" w:hAnsi="Times New Roman" w:cs="Times New Roman"/>
        </w:rPr>
        <w:t xml:space="preserve"> government can strengthen its net zero energy commitments for both new construction and existing buildings</w:t>
      </w:r>
      <w:r w:rsidR="00EA74EF" w:rsidRPr="00E159EF">
        <w:rPr>
          <w:rFonts w:ascii="Times New Roman" w:hAnsi="Times New Roman" w:cs="Times New Roman"/>
        </w:rPr>
        <w:t xml:space="preserve">, and </w:t>
      </w:r>
      <w:r w:rsidRPr="00E159EF">
        <w:rPr>
          <w:rFonts w:ascii="Times New Roman" w:hAnsi="Times New Roman" w:cs="Times New Roman"/>
        </w:rPr>
        <w:t xml:space="preserve">establish interim targets to achieve these commitments. The task </w:t>
      </w:r>
      <w:r w:rsidR="009B3751">
        <w:rPr>
          <w:rFonts w:ascii="Times New Roman" w:hAnsi="Times New Roman" w:cs="Times New Roman"/>
        </w:rPr>
        <w:t>group</w:t>
      </w:r>
      <w:r w:rsidRPr="00E159EF">
        <w:rPr>
          <w:rFonts w:ascii="Times New Roman" w:hAnsi="Times New Roman" w:cs="Times New Roman"/>
        </w:rPr>
        <w:t xml:space="preserve"> </w:t>
      </w:r>
      <w:r w:rsidR="00BF195A">
        <w:rPr>
          <w:rFonts w:ascii="Times New Roman" w:hAnsi="Times New Roman" w:cs="Times New Roman"/>
        </w:rPr>
        <w:t>assembled this document to</w:t>
      </w:r>
      <w:r w:rsidR="00BF195A" w:rsidRPr="00E159EF">
        <w:rPr>
          <w:rFonts w:ascii="Times New Roman" w:hAnsi="Times New Roman" w:cs="Times New Roman"/>
        </w:rPr>
        <w:t xml:space="preserve"> </w:t>
      </w:r>
      <w:r w:rsidR="00B57E42" w:rsidRPr="00E159EF">
        <w:rPr>
          <w:rFonts w:ascii="Times New Roman" w:hAnsi="Times New Roman" w:cs="Times New Roman"/>
        </w:rPr>
        <w:t>present</w:t>
      </w:r>
      <w:r w:rsidRPr="00E159EF">
        <w:rPr>
          <w:rFonts w:ascii="Times New Roman" w:hAnsi="Times New Roman" w:cs="Times New Roman"/>
        </w:rPr>
        <w:t xml:space="preserve"> a set of high-level recommendations </w:t>
      </w:r>
      <w:r w:rsidR="00B57E42" w:rsidRPr="00E159EF">
        <w:rPr>
          <w:rFonts w:ascii="Times New Roman" w:hAnsi="Times New Roman" w:cs="Times New Roman"/>
        </w:rPr>
        <w:t>to the GSA, which apply</w:t>
      </w:r>
      <w:r w:rsidRPr="00E159EF">
        <w:rPr>
          <w:rFonts w:ascii="Times New Roman" w:hAnsi="Times New Roman" w:cs="Times New Roman"/>
        </w:rPr>
        <w:t xml:space="preserve"> to the adoption of NZ</w:t>
      </w:r>
      <w:r w:rsidR="00612075">
        <w:rPr>
          <w:rFonts w:ascii="Times New Roman" w:hAnsi="Times New Roman" w:cs="Times New Roman"/>
        </w:rPr>
        <w:t>E</w:t>
      </w:r>
      <w:r w:rsidR="00B57E42" w:rsidRPr="00E159EF">
        <w:rPr>
          <w:rFonts w:ascii="Times New Roman" w:hAnsi="Times New Roman" w:cs="Times New Roman"/>
        </w:rPr>
        <w:t xml:space="preserve"> </w:t>
      </w:r>
      <w:r w:rsidR="00A9417F">
        <w:rPr>
          <w:rFonts w:ascii="Times New Roman" w:hAnsi="Times New Roman" w:cs="Times New Roman"/>
        </w:rPr>
        <w:t>for</w:t>
      </w:r>
      <w:r w:rsidR="00B57E42" w:rsidRPr="00E159EF">
        <w:rPr>
          <w:rFonts w:ascii="Times New Roman" w:hAnsi="Times New Roman" w:cs="Times New Roman"/>
        </w:rPr>
        <w:t xml:space="preserve"> all federal facilities</w:t>
      </w:r>
      <w:r w:rsidRPr="00E159EF">
        <w:rPr>
          <w:rFonts w:ascii="Times New Roman" w:hAnsi="Times New Roman" w:cs="Times New Roman"/>
        </w:rPr>
        <w:t xml:space="preserve">. </w:t>
      </w:r>
      <w:bookmarkStart w:id="2" w:name="h.4rvwjmby1zbg" w:colFirst="0" w:colLast="0"/>
      <w:bookmarkEnd w:id="2"/>
      <w:r w:rsidR="00BF195A">
        <w:rPr>
          <w:rFonts w:ascii="Times New Roman" w:hAnsi="Times New Roman" w:cs="Times New Roman"/>
        </w:rPr>
        <w:t xml:space="preserve">The recommendations outlined in this document were presented </w:t>
      </w:r>
      <w:r w:rsidR="00A20B37">
        <w:rPr>
          <w:rFonts w:ascii="Times New Roman" w:hAnsi="Times New Roman" w:cs="Times New Roman"/>
        </w:rPr>
        <w:t>by the task group to</w:t>
      </w:r>
      <w:r w:rsidR="00BF195A">
        <w:rPr>
          <w:rFonts w:ascii="Times New Roman" w:hAnsi="Times New Roman" w:cs="Times New Roman"/>
        </w:rPr>
        <w:t xml:space="preserve"> the GBAC </w:t>
      </w:r>
      <w:r w:rsidR="005967D3">
        <w:rPr>
          <w:rFonts w:ascii="Times New Roman" w:hAnsi="Times New Roman" w:cs="Times New Roman"/>
        </w:rPr>
        <w:t>on</w:t>
      </w:r>
      <w:r w:rsidR="005856AB">
        <w:rPr>
          <w:rFonts w:ascii="Times New Roman" w:hAnsi="Times New Roman" w:cs="Times New Roman"/>
        </w:rPr>
        <w:t xml:space="preserve"> September</w:t>
      </w:r>
      <w:r w:rsidR="005967D3">
        <w:rPr>
          <w:rFonts w:ascii="Times New Roman" w:hAnsi="Times New Roman" w:cs="Times New Roman"/>
        </w:rPr>
        <w:t xml:space="preserve"> 10</w:t>
      </w:r>
      <w:r w:rsidR="005856AB">
        <w:rPr>
          <w:rFonts w:ascii="Times New Roman" w:hAnsi="Times New Roman" w:cs="Times New Roman"/>
        </w:rPr>
        <w:t xml:space="preserve">, 2014 </w:t>
      </w:r>
      <w:r w:rsidR="00BF195A">
        <w:rPr>
          <w:rFonts w:ascii="Times New Roman" w:hAnsi="Times New Roman" w:cs="Times New Roman"/>
        </w:rPr>
        <w:t>and approved unanimously</w:t>
      </w:r>
      <w:r w:rsidR="00BF195A" w:rsidRPr="00BF195A">
        <w:rPr>
          <w:rFonts w:ascii="Times New Roman" w:hAnsi="Times New Roman" w:cs="Times New Roman"/>
        </w:rPr>
        <w:t xml:space="preserve"> </w:t>
      </w:r>
      <w:r w:rsidR="00BF195A">
        <w:rPr>
          <w:rFonts w:ascii="Times New Roman" w:hAnsi="Times New Roman" w:cs="Times New Roman"/>
        </w:rPr>
        <w:t>by the GBAC.</w:t>
      </w:r>
    </w:p>
    <w:p w:rsidR="00B57E42" w:rsidRPr="00E159EF" w:rsidRDefault="00DB6400" w:rsidP="00B57E42">
      <w:pPr>
        <w:rPr>
          <w:rFonts w:ascii="Times New Roman" w:hAnsi="Times New Roman" w:cs="Times New Roman"/>
        </w:rPr>
      </w:pPr>
      <w:r w:rsidRPr="00E159EF">
        <w:rPr>
          <w:rFonts w:ascii="Times New Roman" w:hAnsi="Times New Roman" w:cs="Times New Roman"/>
        </w:rPr>
        <w:t xml:space="preserve">The NZE </w:t>
      </w:r>
      <w:r w:rsidR="00F05297">
        <w:rPr>
          <w:rFonts w:ascii="Times New Roman" w:hAnsi="Times New Roman" w:cs="Times New Roman"/>
        </w:rPr>
        <w:t xml:space="preserve">task </w:t>
      </w:r>
      <w:r w:rsidR="009B3751">
        <w:rPr>
          <w:rFonts w:ascii="Times New Roman" w:hAnsi="Times New Roman" w:cs="Times New Roman"/>
        </w:rPr>
        <w:t>group</w:t>
      </w:r>
      <w:r w:rsidR="00BF195A">
        <w:rPr>
          <w:rFonts w:ascii="Times New Roman" w:hAnsi="Times New Roman" w:cs="Times New Roman"/>
        </w:rPr>
        <w:t xml:space="preserve"> and the GBAC </w:t>
      </w:r>
      <w:r w:rsidRPr="00E159EF">
        <w:rPr>
          <w:rFonts w:ascii="Times New Roman" w:hAnsi="Times New Roman" w:cs="Times New Roman"/>
        </w:rPr>
        <w:t xml:space="preserve">recommend that </w:t>
      </w:r>
      <w:r w:rsidR="006C7559">
        <w:rPr>
          <w:rFonts w:ascii="Times New Roman" w:hAnsi="Times New Roman" w:cs="Times New Roman"/>
        </w:rPr>
        <w:t xml:space="preserve">the </w:t>
      </w:r>
      <w:r w:rsidRPr="00E159EF">
        <w:rPr>
          <w:rFonts w:ascii="Times New Roman" w:hAnsi="Times New Roman" w:cs="Times New Roman"/>
        </w:rPr>
        <w:t xml:space="preserve">GSA and the </w:t>
      </w:r>
      <w:r w:rsidR="00EE065C">
        <w:rPr>
          <w:rFonts w:ascii="Times New Roman" w:hAnsi="Times New Roman" w:cs="Times New Roman"/>
        </w:rPr>
        <w:t>federal</w:t>
      </w:r>
      <w:r w:rsidRPr="00E159EF">
        <w:rPr>
          <w:rFonts w:ascii="Times New Roman" w:hAnsi="Times New Roman" w:cs="Times New Roman"/>
        </w:rPr>
        <w:t xml:space="preserve"> </w:t>
      </w:r>
      <w:r w:rsidR="00517087">
        <w:rPr>
          <w:rFonts w:ascii="Times New Roman" w:hAnsi="Times New Roman" w:cs="Times New Roman"/>
        </w:rPr>
        <w:t>government</w:t>
      </w:r>
      <w:r w:rsidRPr="00E159EF">
        <w:rPr>
          <w:rFonts w:ascii="Times New Roman" w:hAnsi="Times New Roman" w:cs="Times New Roman"/>
        </w:rPr>
        <w:t xml:space="preserve"> take a leadership role in moving the </w:t>
      </w:r>
      <w:r w:rsidR="00CE1824" w:rsidRPr="00E159EF">
        <w:rPr>
          <w:rFonts w:ascii="Times New Roman" w:hAnsi="Times New Roman" w:cs="Times New Roman"/>
        </w:rPr>
        <w:t xml:space="preserve">United States </w:t>
      </w:r>
      <w:r w:rsidRPr="00E159EF">
        <w:rPr>
          <w:rFonts w:ascii="Times New Roman" w:hAnsi="Times New Roman" w:cs="Times New Roman"/>
        </w:rPr>
        <w:t>toward a carbon neutral, more energy efficient</w:t>
      </w:r>
      <w:r w:rsidR="00957EA7">
        <w:rPr>
          <w:rFonts w:ascii="Times New Roman" w:hAnsi="Times New Roman" w:cs="Times New Roman"/>
        </w:rPr>
        <w:t>,</w:t>
      </w:r>
      <w:r w:rsidRPr="00E159EF">
        <w:rPr>
          <w:rFonts w:ascii="Times New Roman" w:hAnsi="Times New Roman" w:cs="Times New Roman"/>
        </w:rPr>
        <w:t xml:space="preserve"> and resilient future by adopting these NZEB policies </w:t>
      </w:r>
      <w:r w:rsidR="00790EA2" w:rsidRPr="00E159EF">
        <w:rPr>
          <w:rFonts w:ascii="Times New Roman" w:hAnsi="Times New Roman" w:cs="Times New Roman"/>
        </w:rPr>
        <w:t xml:space="preserve">for </w:t>
      </w:r>
      <w:r w:rsidRPr="00E159EF">
        <w:rPr>
          <w:rFonts w:ascii="Times New Roman" w:hAnsi="Times New Roman" w:cs="Times New Roman"/>
        </w:rPr>
        <w:t xml:space="preserve">new and existing buildings.  The </w:t>
      </w:r>
      <w:r w:rsidR="00C45AE0" w:rsidRPr="00E159EF">
        <w:rPr>
          <w:rFonts w:ascii="Times New Roman" w:hAnsi="Times New Roman" w:cs="Times New Roman"/>
        </w:rPr>
        <w:t>long-term</w:t>
      </w:r>
      <w:r w:rsidRPr="00E159EF">
        <w:rPr>
          <w:rFonts w:ascii="Times New Roman" w:hAnsi="Times New Roman" w:cs="Times New Roman"/>
        </w:rPr>
        <w:t xml:space="preserve"> advantages of making </w:t>
      </w:r>
      <w:r w:rsidR="00B57E42" w:rsidRPr="00E159EF">
        <w:rPr>
          <w:rFonts w:ascii="Times New Roman" w:hAnsi="Times New Roman" w:cs="Times New Roman"/>
        </w:rPr>
        <w:t>building</w:t>
      </w:r>
      <w:r w:rsidR="00790EA2" w:rsidRPr="00E159EF">
        <w:rPr>
          <w:rFonts w:ascii="Times New Roman" w:hAnsi="Times New Roman" w:cs="Times New Roman"/>
        </w:rPr>
        <w:t xml:space="preserve"> </w:t>
      </w:r>
      <w:r w:rsidRPr="00E159EF">
        <w:rPr>
          <w:rFonts w:ascii="Times New Roman" w:hAnsi="Times New Roman" w:cs="Times New Roman"/>
        </w:rPr>
        <w:t>improvements</w:t>
      </w:r>
      <w:r w:rsidR="00B57E42" w:rsidRPr="00E159EF">
        <w:rPr>
          <w:rFonts w:ascii="Times New Roman" w:hAnsi="Times New Roman" w:cs="Times New Roman"/>
        </w:rPr>
        <w:t xml:space="preserve"> toward NZEB</w:t>
      </w:r>
      <w:r w:rsidRPr="00E159EF">
        <w:rPr>
          <w:rFonts w:ascii="Times New Roman" w:hAnsi="Times New Roman" w:cs="Times New Roman"/>
        </w:rPr>
        <w:t xml:space="preserve"> include lower environmental costs, lower operating and </w:t>
      </w:r>
      <w:r w:rsidRPr="00E159EF">
        <w:rPr>
          <w:rFonts w:ascii="Times New Roman" w:hAnsi="Times New Roman" w:cs="Times New Roman"/>
        </w:rPr>
        <w:lastRenderedPageBreak/>
        <w:t>maintenance costs, healthier buildings, better resiliency to power outages and natural disasters</w:t>
      </w:r>
      <w:r w:rsidR="00957EA7">
        <w:rPr>
          <w:rFonts w:ascii="Times New Roman" w:hAnsi="Times New Roman" w:cs="Times New Roman"/>
        </w:rPr>
        <w:t>,</w:t>
      </w:r>
      <w:r w:rsidRPr="00E159EF">
        <w:rPr>
          <w:rFonts w:ascii="Times New Roman" w:hAnsi="Times New Roman" w:cs="Times New Roman"/>
        </w:rPr>
        <w:t xml:space="preserve"> and </w:t>
      </w:r>
      <w:r w:rsidR="007F31E0" w:rsidRPr="00E159EF">
        <w:rPr>
          <w:rFonts w:ascii="Times New Roman" w:hAnsi="Times New Roman" w:cs="Times New Roman"/>
        </w:rPr>
        <w:t>improved</w:t>
      </w:r>
      <w:r w:rsidRPr="00E159EF">
        <w:rPr>
          <w:rFonts w:ascii="Times New Roman" w:hAnsi="Times New Roman" w:cs="Times New Roman"/>
        </w:rPr>
        <w:t xml:space="preserve"> energy security. </w:t>
      </w:r>
    </w:p>
    <w:p w:rsidR="00B57E42" w:rsidRPr="00E159EF" w:rsidRDefault="00B57E42" w:rsidP="00B57E42">
      <w:pPr>
        <w:rPr>
          <w:rFonts w:ascii="Times New Roman" w:hAnsi="Times New Roman" w:cs="Times New Roman"/>
        </w:rPr>
      </w:pPr>
      <w:r w:rsidRPr="00E159EF">
        <w:rPr>
          <w:rFonts w:ascii="Times New Roman" w:hAnsi="Times New Roman" w:cs="Times New Roman"/>
        </w:rPr>
        <w:t>Reducing</w:t>
      </w:r>
      <w:r w:rsidR="00790EA2" w:rsidRPr="00E159EF">
        <w:rPr>
          <w:rFonts w:ascii="Times New Roman" w:hAnsi="Times New Roman" w:cs="Times New Roman"/>
        </w:rPr>
        <w:t xml:space="preserve"> building energy </w:t>
      </w:r>
      <w:r w:rsidRPr="00E159EF">
        <w:rPr>
          <w:rFonts w:ascii="Times New Roman" w:hAnsi="Times New Roman" w:cs="Times New Roman"/>
        </w:rPr>
        <w:t>consumption first</w:t>
      </w:r>
      <w:r w:rsidR="00790EA2" w:rsidRPr="00E159EF">
        <w:rPr>
          <w:rFonts w:ascii="Times New Roman" w:hAnsi="Times New Roman" w:cs="Times New Roman"/>
        </w:rPr>
        <w:t xml:space="preserve"> </w:t>
      </w:r>
      <w:r w:rsidR="00DB6400" w:rsidRPr="00E159EF">
        <w:rPr>
          <w:rFonts w:ascii="Times New Roman" w:hAnsi="Times New Roman" w:cs="Times New Roman"/>
        </w:rPr>
        <w:t xml:space="preserve">will have </w:t>
      </w:r>
      <w:r w:rsidR="00790EA2" w:rsidRPr="00E159EF">
        <w:rPr>
          <w:rFonts w:ascii="Times New Roman" w:hAnsi="Times New Roman" w:cs="Times New Roman"/>
        </w:rPr>
        <w:t>substantial</w:t>
      </w:r>
      <w:r w:rsidR="00DB6400" w:rsidRPr="00E159EF">
        <w:rPr>
          <w:rFonts w:ascii="Times New Roman" w:hAnsi="Times New Roman" w:cs="Times New Roman"/>
        </w:rPr>
        <w:t xml:space="preserve"> environmental benefits and will often be the most cost effective approach</w:t>
      </w:r>
      <w:r w:rsidR="00790EA2" w:rsidRPr="00E159EF">
        <w:rPr>
          <w:rFonts w:ascii="Times New Roman" w:hAnsi="Times New Roman" w:cs="Times New Roman"/>
        </w:rPr>
        <w:t xml:space="preserve"> </w:t>
      </w:r>
      <w:r w:rsidRPr="00E159EF">
        <w:rPr>
          <w:rFonts w:ascii="Times New Roman" w:hAnsi="Times New Roman" w:cs="Times New Roman"/>
        </w:rPr>
        <w:t xml:space="preserve">to building or renovating </w:t>
      </w:r>
      <w:r w:rsidR="00EE065C">
        <w:rPr>
          <w:rFonts w:ascii="Times New Roman" w:hAnsi="Times New Roman" w:cs="Times New Roman"/>
        </w:rPr>
        <w:t>federal</w:t>
      </w:r>
      <w:r w:rsidR="00790EA2" w:rsidRPr="00E159EF">
        <w:rPr>
          <w:rFonts w:ascii="Times New Roman" w:hAnsi="Times New Roman" w:cs="Times New Roman"/>
        </w:rPr>
        <w:t xml:space="preserve"> buildings</w:t>
      </w:r>
      <w:r w:rsidR="00CE1824" w:rsidRPr="00E159EF">
        <w:rPr>
          <w:rFonts w:ascii="Times New Roman" w:hAnsi="Times New Roman" w:cs="Times New Roman"/>
        </w:rPr>
        <w:t xml:space="preserve">. </w:t>
      </w:r>
      <w:r w:rsidR="00B71204" w:rsidRPr="00E159EF">
        <w:rPr>
          <w:rFonts w:ascii="Times New Roman" w:hAnsi="Times New Roman" w:cs="Times New Roman"/>
        </w:rPr>
        <w:t xml:space="preserve"> </w:t>
      </w:r>
      <w:r w:rsidR="00CE1824" w:rsidRPr="00E159EF">
        <w:rPr>
          <w:rFonts w:ascii="Times New Roman" w:hAnsi="Times New Roman" w:cs="Times New Roman"/>
        </w:rPr>
        <w:t>This can</w:t>
      </w:r>
      <w:r w:rsidR="00DB6400" w:rsidRPr="00E159EF">
        <w:rPr>
          <w:rFonts w:ascii="Times New Roman" w:hAnsi="Times New Roman" w:cs="Times New Roman"/>
        </w:rPr>
        <w:t xml:space="preserve"> be done through various means</w:t>
      </w:r>
      <w:r w:rsidR="007A2524" w:rsidRPr="00E159EF">
        <w:rPr>
          <w:rFonts w:ascii="Times New Roman" w:hAnsi="Times New Roman" w:cs="Times New Roman"/>
        </w:rPr>
        <w:t>,</w:t>
      </w:r>
      <w:r w:rsidR="00DB6400" w:rsidRPr="00E159EF">
        <w:rPr>
          <w:rFonts w:ascii="Times New Roman" w:hAnsi="Times New Roman" w:cs="Times New Roman"/>
        </w:rPr>
        <w:t xml:space="preserve"> including </w:t>
      </w:r>
      <w:r w:rsidRPr="00E159EF">
        <w:rPr>
          <w:rFonts w:ascii="Times New Roman" w:hAnsi="Times New Roman" w:cs="Times New Roman"/>
        </w:rPr>
        <w:t xml:space="preserve">integrative design, </w:t>
      </w:r>
      <w:r w:rsidR="00DB6400" w:rsidRPr="00E159EF">
        <w:rPr>
          <w:rFonts w:ascii="Times New Roman" w:hAnsi="Times New Roman" w:cs="Times New Roman"/>
        </w:rPr>
        <w:t xml:space="preserve">energy efficiency retrofits, reduced plug loads, and conservation measures. </w:t>
      </w:r>
      <w:r w:rsidRPr="00E159EF">
        <w:rPr>
          <w:rFonts w:ascii="Times New Roman" w:hAnsi="Times New Roman" w:cs="Times New Roman"/>
        </w:rPr>
        <w:t>Reduced energy consumption for new construction or major renovation projects make</w:t>
      </w:r>
      <w:r w:rsidR="00C45AE0">
        <w:rPr>
          <w:rFonts w:ascii="Times New Roman" w:hAnsi="Times New Roman" w:cs="Times New Roman"/>
        </w:rPr>
        <w:t>s</w:t>
      </w:r>
      <w:r w:rsidRPr="00E159EF">
        <w:rPr>
          <w:rFonts w:ascii="Times New Roman" w:hAnsi="Times New Roman" w:cs="Times New Roman"/>
        </w:rPr>
        <w:t xml:space="preserve"> it simpler and less expensive to meet the building’s energy needs with renewable sources of energy. </w:t>
      </w:r>
      <w:r w:rsidR="00DB6400" w:rsidRPr="00E159EF">
        <w:rPr>
          <w:rFonts w:ascii="Times New Roman" w:hAnsi="Times New Roman" w:cs="Times New Roman"/>
        </w:rPr>
        <w:t xml:space="preserve">The </w:t>
      </w:r>
      <w:r w:rsidR="00EE065C">
        <w:rPr>
          <w:rFonts w:ascii="Times New Roman" w:hAnsi="Times New Roman" w:cs="Times New Roman"/>
        </w:rPr>
        <w:t>federal</w:t>
      </w:r>
      <w:r w:rsidR="00DB6400" w:rsidRPr="00E159EF">
        <w:rPr>
          <w:rFonts w:ascii="Times New Roman" w:hAnsi="Times New Roman" w:cs="Times New Roman"/>
        </w:rPr>
        <w:t xml:space="preserve"> </w:t>
      </w:r>
      <w:r w:rsidR="00957EA7">
        <w:rPr>
          <w:rFonts w:ascii="Times New Roman" w:hAnsi="Times New Roman" w:cs="Times New Roman"/>
        </w:rPr>
        <w:t>g</w:t>
      </w:r>
      <w:r w:rsidR="00957EA7" w:rsidRPr="00E159EF">
        <w:rPr>
          <w:rFonts w:ascii="Times New Roman" w:hAnsi="Times New Roman" w:cs="Times New Roman"/>
        </w:rPr>
        <w:t xml:space="preserve">overnment’s </w:t>
      </w:r>
      <w:r w:rsidR="00DB6400" w:rsidRPr="00E159EF">
        <w:rPr>
          <w:rFonts w:ascii="Times New Roman" w:hAnsi="Times New Roman" w:cs="Times New Roman"/>
        </w:rPr>
        <w:t xml:space="preserve">leadership in </w:t>
      </w:r>
      <w:r w:rsidRPr="00E159EF">
        <w:rPr>
          <w:rFonts w:ascii="Times New Roman" w:hAnsi="Times New Roman" w:cs="Times New Roman"/>
        </w:rPr>
        <w:t>efficiency and renewables</w:t>
      </w:r>
      <w:r w:rsidR="00DB6400" w:rsidRPr="00E159EF">
        <w:rPr>
          <w:rFonts w:ascii="Times New Roman" w:hAnsi="Times New Roman" w:cs="Times New Roman"/>
        </w:rPr>
        <w:t xml:space="preserve"> will </w:t>
      </w:r>
      <w:r w:rsidR="00C45AE0" w:rsidRPr="00E159EF">
        <w:rPr>
          <w:rFonts w:ascii="Times New Roman" w:hAnsi="Times New Roman" w:cs="Times New Roman"/>
        </w:rPr>
        <w:t xml:space="preserve">more rapidly </w:t>
      </w:r>
      <w:r w:rsidR="00DB6400" w:rsidRPr="00E159EF">
        <w:rPr>
          <w:rFonts w:ascii="Times New Roman" w:hAnsi="Times New Roman" w:cs="Times New Roman"/>
        </w:rPr>
        <w:t xml:space="preserve">drive down the cost of energy efficiency and renewable energy technologies, signal the industry </w:t>
      </w:r>
      <w:r w:rsidR="007A2524" w:rsidRPr="00E159EF">
        <w:rPr>
          <w:rFonts w:ascii="Times New Roman" w:hAnsi="Times New Roman" w:cs="Times New Roman"/>
        </w:rPr>
        <w:t xml:space="preserve">to </w:t>
      </w:r>
      <w:r w:rsidR="00DB6400" w:rsidRPr="00E159EF">
        <w:rPr>
          <w:rFonts w:ascii="Times New Roman" w:hAnsi="Times New Roman" w:cs="Times New Roman"/>
        </w:rPr>
        <w:t xml:space="preserve">the importance of rapidly adopting these strategies into new and existing buildings, and encourage utility companies to </w:t>
      </w:r>
      <w:r w:rsidRPr="00E159EF">
        <w:rPr>
          <w:rFonts w:ascii="Times New Roman" w:hAnsi="Times New Roman" w:cs="Times New Roman"/>
        </w:rPr>
        <w:t xml:space="preserve">use </w:t>
      </w:r>
      <w:r w:rsidR="00DB6400" w:rsidRPr="00E159EF">
        <w:rPr>
          <w:rFonts w:ascii="Times New Roman" w:hAnsi="Times New Roman" w:cs="Times New Roman"/>
        </w:rPr>
        <w:t>innovative strategies for more rapid and cost effective deployment of renewable energy generation</w:t>
      </w:r>
      <w:r w:rsidR="00B84982" w:rsidRPr="00E159EF">
        <w:rPr>
          <w:rFonts w:ascii="Times New Roman" w:hAnsi="Times New Roman" w:cs="Times New Roman"/>
        </w:rPr>
        <w:t xml:space="preserve"> and smart grid technologies</w:t>
      </w:r>
      <w:r w:rsidR="00DB6400" w:rsidRPr="00E159EF">
        <w:rPr>
          <w:rFonts w:ascii="Times New Roman" w:hAnsi="Times New Roman" w:cs="Times New Roman"/>
        </w:rPr>
        <w:t>.</w:t>
      </w:r>
      <w:r w:rsidR="007E3A06" w:rsidRPr="00E159EF">
        <w:rPr>
          <w:rFonts w:ascii="Times New Roman" w:hAnsi="Times New Roman" w:cs="Times New Roman"/>
        </w:rPr>
        <w:t xml:space="preserve"> </w:t>
      </w:r>
    </w:p>
    <w:p w:rsidR="003C7BD2" w:rsidRPr="00E159EF" w:rsidRDefault="007E3A06" w:rsidP="00EB4387">
      <w:r w:rsidRPr="00E159EF">
        <w:rPr>
          <w:rFonts w:ascii="Times New Roman" w:hAnsi="Times New Roman" w:cs="Times New Roman"/>
        </w:rPr>
        <w:t xml:space="preserve">While this committee can’t develop solutions </w:t>
      </w:r>
      <w:r w:rsidR="007A2524" w:rsidRPr="00E159EF">
        <w:rPr>
          <w:rFonts w:ascii="Times New Roman" w:hAnsi="Times New Roman" w:cs="Times New Roman"/>
        </w:rPr>
        <w:t>for</w:t>
      </w:r>
      <w:r w:rsidRPr="00E159EF">
        <w:rPr>
          <w:rFonts w:ascii="Times New Roman" w:hAnsi="Times New Roman" w:cs="Times New Roman"/>
        </w:rPr>
        <w:t xml:space="preserve"> all impediments to implementing NZE on </w:t>
      </w:r>
      <w:r w:rsidR="00EE065C">
        <w:rPr>
          <w:rFonts w:ascii="Times New Roman" w:hAnsi="Times New Roman" w:cs="Times New Roman"/>
        </w:rPr>
        <w:t>federal</w:t>
      </w:r>
      <w:r w:rsidRPr="00E159EF">
        <w:rPr>
          <w:rFonts w:ascii="Times New Roman" w:hAnsi="Times New Roman" w:cs="Times New Roman"/>
        </w:rPr>
        <w:t xml:space="preserve"> buildings, we recommend </w:t>
      </w:r>
      <w:r w:rsidR="007A2524" w:rsidRPr="00E159EF">
        <w:rPr>
          <w:rFonts w:ascii="Times New Roman" w:hAnsi="Times New Roman" w:cs="Times New Roman"/>
        </w:rPr>
        <w:t xml:space="preserve">a number of strategies that should assist the </w:t>
      </w:r>
      <w:r w:rsidR="00EE065C">
        <w:rPr>
          <w:rFonts w:ascii="Times New Roman" w:hAnsi="Times New Roman" w:cs="Times New Roman"/>
        </w:rPr>
        <w:t>federal</w:t>
      </w:r>
      <w:r w:rsidRPr="00E159EF">
        <w:rPr>
          <w:rFonts w:ascii="Times New Roman" w:hAnsi="Times New Roman" w:cs="Times New Roman"/>
        </w:rPr>
        <w:t xml:space="preserve"> government </w:t>
      </w:r>
      <w:r w:rsidR="007A2524" w:rsidRPr="00E159EF">
        <w:rPr>
          <w:rFonts w:ascii="Times New Roman" w:hAnsi="Times New Roman" w:cs="Times New Roman"/>
        </w:rPr>
        <w:t xml:space="preserve">in </w:t>
      </w:r>
      <w:r w:rsidR="00991170" w:rsidRPr="00E159EF">
        <w:rPr>
          <w:rFonts w:ascii="Times New Roman" w:hAnsi="Times New Roman" w:cs="Times New Roman"/>
        </w:rPr>
        <w:t>overcoming these impediments to implement the recommended policies described in this document.</w:t>
      </w:r>
    </w:p>
    <w:p w:rsidR="003C7BD2" w:rsidRPr="00E159EF" w:rsidRDefault="003C7BD2">
      <w:pPr>
        <w:pStyle w:val="Normal1"/>
        <w:rPr>
          <w:rFonts w:ascii="Times New Roman" w:hAnsi="Times New Roman" w:cs="Times New Roman"/>
          <w:color w:val="auto"/>
        </w:rPr>
      </w:pPr>
    </w:p>
    <w:p w:rsidR="00D218F3" w:rsidRPr="00502FAD" w:rsidRDefault="00502FAD" w:rsidP="00502FAD">
      <w:pPr>
        <w:pStyle w:val="Normal10"/>
        <w:rPr>
          <w:rFonts w:ascii="Times New Roman" w:eastAsia="Calibri" w:hAnsi="Times New Roman" w:cs="Times New Roman"/>
          <w:b/>
          <w:color w:val="auto"/>
          <w:sz w:val="24"/>
        </w:rPr>
      </w:pPr>
      <w:bookmarkStart w:id="3" w:name="h.avscvxvd938u" w:colFirst="0" w:colLast="0"/>
      <w:bookmarkEnd w:id="3"/>
      <w:r w:rsidRPr="00502FAD">
        <w:rPr>
          <w:rFonts w:ascii="Times New Roman" w:eastAsia="Calibri" w:hAnsi="Times New Roman" w:cs="Times New Roman"/>
          <w:b/>
          <w:color w:val="auto"/>
          <w:sz w:val="24"/>
        </w:rPr>
        <w:t>Section 2:</w:t>
      </w:r>
      <w:r w:rsidR="003C7BD2" w:rsidRPr="00502FAD">
        <w:rPr>
          <w:rFonts w:ascii="Times New Roman" w:eastAsia="Calibri" w:hAnsi="Times New Roman" w:cs="Times New Roman"/>
          <w:b/>
          <w:color w:val="auto"/>
          <w:sz w:val="24"/>
        </w:rPr>
        <w:t xml:space="preserve"> </w:t>
      </w:r>
      <w:r>
        <w:rPr>
          <w:rFonts w:ascii="Times New Roman" w:eastAsia="Calibri" w:hAnsi="Times New Roman" w:cs="Times New Roman"/>
          <w:b/>
          <w:color w:val="auto"/>
          <w:sz w:val="24"/>
        </w:rPr>
        <w:t>NZE Definitions</w:t>
      </w:r>
    </w:p>
    <w:p w:rsidR="00D218F3" w:rsidRPr="00E159EF" w:rsidRDefault="00DB6400" w:rsidP="00015B0A">
      <w:pPr>
        <w:rPr>
          <w:rFonts w:ascii="Times New Roman" w:hAnsi="Times New Roman" w:cs="Times New Roman"/>
          <w:b/>
          <w:highlight w:val="yellow"/>
        </w:rPr>
      </w:pPr>
      <w:r w:rsidRPr="00E159EF">
        <w:rPr>
          <w:rFonts w:ascii="Times New Roman" w:hAnsi="Times New Roman" w:cs="Times New Roman"/>
        </w:rPr>
        <w:t xml:space="preserve">The </w:t>
      </w:r>
      <w:r w:rsidRPr="00A20B37">
        <w:rPr>
          <w:rFonts w:ascii="Times New Roman" w:hAnsi="Times New Roman" w:cs="Times New Roman"/>
        </w:rPr>
        <w:t xml:space="preserve">NZE </w:t>
      </w:r>
      <w:r w:rsidR="00F05297" w:rsidRPr="00A20B37">
        <w:rPr>
          <w:rFonts w:ascii="Times New Roman" w:hAnsi="Times New Roman" w:cs="Times New Roman"/>
        </w:rPr>
        <w:t xml:space="preserve">task </w:t>
      </w:r>
      <w:r w:rsidR="009B3751" w:rsidRPr="002B70BA">
        <w:rPr>
          <w:rFonts w:ascii="Times New Roman" w:hAnsi="Times New Roman" w:cs="Times New Roman"/>
        </w:rPr>
        <w:t>group</w:t>
      </w:r>
      <w:r w:rsidRPr="00E159EF">
        <w:rPr>
          <w:rFonts w:ascii="Times New Roman" w:hAnsi="Times New Roman" w:cs="Times New Roman"/>
        </w:rPr>
        <w:t xml:space="preserve"> reviewed several definitions of NZE</w:t>
      </w:r>
      <w:r w:rsidR="00015B0A" w:rsidRPr="00E159EF">
        <w:rPr>
          <w:rFonts w:ascii="Times New Roman" w:hAnsi="Times New Roman" w:cs="Times New Roman"/>
        </w:rPr>
        <w:t>,</w:t>
      </w:r>
      <w:r w:rsidRPr="00E159EF">
        <w:rPr>
          <w:rFonts w:ascii="Times New Roman" w:hAnsi="Times New Roman" w:cs="Times New Roman"/>
        </w:rPr>
        <w:t xml:space="preserve"> </w:t>
      </w:r>
      <w:r w:rsidR="00E416D4" w:rsidRPr="00E159EF">
        <w:rPr>
          <w:rFonts w:ascii="Times New Roman" w:hAnsi="Times New Roman" w:cs="Times New Roman"/>
        </w:rPr>
        <w:t>and t</w:t>
      </w:r>
      <w:r w:rsidR="00923FBD" w:rsidRPr="00E159EF">
        <w:rPr>
          <w:rFonts w:ascii="Times New Roman" w:hAnsi="Times New Roman" w:cs="Times New Roman"/>
        </w:rPr>
        <w:t>h</w:t>
      </w:r>
      <w:r w:rsidRPr="00E159EF">
        <w:rPr>
          <w:rFonts w:ascii="Times New Roman" w:hAnsi="Times New Roman" w:cs="Times New Roman"/>
        </w:rPr>
        <w:t>e following definition</w:t>
      </w:r>
      <w:r w:rsidR="00E416D4" w:rsidRPr="00E159EF">
        <w:rPr>
          <w:rFonts w:ascii="Times New Roman" w:hAnsi="Times New Roman" w:cs="Times New Roman"/>
        </w:rPr>
        <w:t>s</w:t>
      </w:r>
      <w:r w:rsidRPr="00E159EF">
        <w:rPr>
          <w:rFonts w:ascii="Times New Roman" w:hAnsi="Times New Roman" w:cs="Times New Roman"/>
        </w:rPr>
        <w:t xml:space="preserve"> </w:t>
      </w:r>
      <w:r w:rsidR="00E416D4" w:rsidRPr="00E159EF">
        <w:rPr>
          <w:rFonts w:ascii="Times New Roman" w:hAnsi="Times New Roman" w:cs="Times New Roman"/>
        </w:rPr>
        <w:t xml:space="preserve">are </w:t>
      </w:r>
      <w:r w:rsidRPr="00E159EF">
        <w:rPr>
          <w:rFonts w:ascii="Times New Roman" w:hAnsi="Times New Roman" w:cs="Times New Roman"/>
        </w:rPr>
        <w:t>provisionally accepted</w:t>
      </w:r>
      <w:r w:rsidR="00015B0A" w:rsidRPr="00E159EF">
        <w:rPr>
          <w:rFonts w:ascii="Times New Roman" w:hAnsi="Times New Roman" w:cs="Times New Roman"/>
        </w:rPr>
        <w:t>:</w:t>
      </w:r>
    </w:p>
    <w:p w:rsidR="00D218F3" w:rsidRPr="00E159EF" w:rsidRDefault="00D218F3">
      <w:pPr>
        <w:pStyle w:val="Normal1"/>
        <w:spacing w:after="200"/>
        <w:rPr>
          <w:rFonts w:ascii="Times New Roman" w:hAnsi="Times New Roman" w:cs="Times New Roman"/>
          <w:color w:val="auto"/>
        </w:rPr>
      </w:pPr>
      <w:r w:rsidRPr="00E159EF">
        <w:rPr>
          <w:rFonts w:ascii="Times New Roman" w:eastAsia="Calibri" w:hAnsi="Times New Roman" w:cs="Times New Roman"/>
          <w:b/>
          <w:i/>
          <w:color w:val="auto"/>
        </w:rPr>
        <w:t>NZE definitions for individual buildings</w:t>
      </w:r>
    </w:p>
    <w:p w:rsidR="003C7BD2" w:rsidRPr="00E159EF" w:rsidRDefault="00EE3AF8" w:rsidP="00015B0A">
      <w:pPr>
        <w:pStyle w:val="Normal1"/>
        <w:spacing w:after="200"/>
        <w:ind w:left="720"/>
        <w:rPr>
          <w:rFonts w:ascii="Times New Roman" w:eastAsia="Calibri" w:hAnsi="Times New Roman" w:cs="Times New Roman"/>
          <w:color w:val="auto"/>
        </w:rPr>
      </w:pPr>
      <w:r>
        <w:rPr>
          <w:rFonts w:ascii="Times New Roman" w:eastAsia="Calibri" w:hAnsi="Times New Roman" w:cs="Times New Roman"/>
          <w:b/>
          <w:color w:val="auto"/>
        </w:rPr>
        <w:t>Net Zero Energy Building (</w:t>
      </w:r>
      <w:r w:rsidR="003C7BD2" w:rsidRPr="00E159EF">
        <w:rPr>
          <w:rFonts w:ascii="Times New Roman" w:eastAsia="Calibri" w:hAnsi="Times New Roman" w:cs="Times New Roman"/>
          <w:b/>
          <w:color w:val="auto"/>
        </w:rPr>
        <w:t>NZEB</w:t>
      </w:r>
      <w:r>
        <w:rPr>
          <w:rFonts w:ascii="Times New Roman" w:eastAsia="Calibri" w:hAnsi="Times New Roman" w:cs="Times New Roman"/>
          <w:b/>
          <w:color w:val="auto"/>
        </w:rPr>
        <w:t>)</w:t>
      </w:r>
      <w:r w:rsidR="003C7BD2" w:rsidRPr="00E159EF">
        <w:rPr>
          <w:rFonts w:ascii="Times New Roman" w:eastAsia="Calibri" w:hAnsi="Times New Roman" w:cs="Times New Roman"/>
          <w:b/>
          <w:color w:val="auto"/>
        </w:rPr>
        <w:t xml:space="preserve">: </w:t>
      </w:r>
      <w:r w:rsidR="003C7BD2" w:rsidRPr="00E159EF">
        <w:rPr>
          <w:rFonts w:ascii="Times New Roman" w:eastAsia="Calibri" w:hAnsi="Times New Roman" w:cs="Times New Roman"/>
          <w:i/>
          <w:color w:val="auto"/>
        </w:rPr>
        <w:t xml:space="preserve">an energy-efficient building where the </w:t>
      </w:r>
      <w:r w:rsidR="00D218F3" w:rsidRPr="00E159EF">
        <w:rPr>
          <w:rFonts w:ascii="Times New Roman" w:eastAsia="Calibri" w:hAnsi="Times New Roman" w:cs="Times New Roman"/>
          <w:b/>
          <w:i/>
          <w:color w:val="auto"/>
        </w:rPr>
        <w:t xml:space="preserve">actual </w:t>
      </w:r>
      <w:r w:rsidR="003C7BD2" w:rsidRPr="00E159EF">
        <w:rPr>
          <w:rFonts w:ascii="Times New Roman" w:eastAsia="Calibri" w:hAnsi="Times New Roman" w:cs="Times New Roman"/>
          <w:b/>
          <w:i/>
          <w:color w:val="auto"/>
        </w:rPr>
        <w:t>source energy</w:t>
      </w:r>
      <w:r w:rsidR="003C7BD2" w:rsidRPr="00E159EF">
        <w:rPr>
          <w:rFonts w:ascii="Times New Roman" w:eastAsia="Calibri" w:hAnsi="Times New Roman" w:cs="Times New Roman"/>
          <w:i/>
          <w:color w:val="auto"/>
        </w:rPr>
        <w:t xml:space="preserve"> consumption measured at the </w:t>
      </w:r>
      <w:r w:rsidR="003C7BD2" w:rsidRPr="00E159EF">
        <w:rPr>
          <w:rFonts w:ascii="Times New Roman" w:eastAsia="Calibri" w:hAnsi="Times New Roman" w:cs="Times New Roman"/>
          <w:b/>
          <w:i/>
          <w:color w:val="auto"/>
        </w:rPr>
        <w:t>site boundary</w:t>
      </w:r>
      <w:r w:rsidR="003C7BD2" w:rsidRPr="00E159EF">
        <w:rPr>
          <w:rFonts w:ascii="Times New Roman" w:eastAsia="Calibri" w:hAnsi="Times New Roman" w:cs="Times New Roman"/>
          <w:i/>
          <w:color w:val="auto"/>
        </w:rPr>
        <w:t xml:space="preserve"> is balanced by </w:t>
      </w:r>
      <w:r w:rsidR="003C7BD2" w:rsidRPr="00E159EF">
        <w:rPr>
          <w:rFonts w:ascii="Times New Roman" w:eastAsia="Calibri" w:hAnsi="Times New Roman" w:cs="Times New Roman"/>
          <w:b/>
          <w:i/>
          <w:color w:val="auto"/>
        </w:rPr>
        <w:t>on-site</w:t>
      </w:r>
      <w:r w:rsidR="003C7BD2" w:rsidRPr="00E159EF">
        <w:rPr>
          <w:rFonts w:ascii="Times New Roman" w:eastAsia="Calibri" w:hAnsi="Times New Roman" w:cs="Times New Roman"/>
          <w:i/>
          <w:color w:val="auto"/>
        </w:rPr>
        <w:t xml:space="preserve"> </w:t>
      </w:r>
      <w:r w:rsidR="003C7BD2" w:rsidRPr="00E159EF">
        <w:rPr>
          <w:rFonts w:ascii="Times New Roman" w:eastAsia="Calibri" w:hAnsi="Times New Roman" w:cs="Times New Roman"/>
          <w:b/>
          <w:i/>
          <w:color w:val="auto"/>
        </w:rPr>
        <w:t>renewable energy</w:t>
      </w:r>
      <w:r w:rsidR="00B84982" w:rsidRPr="00E159EF">
        <w:rPr>
          <w:rFonts w:ascii="Times New Roman" w:eastAsia="Calibri" w:hAnsi="Times New Roman" w:cs="Times New Roman"/>
          <w:b/>
          <w:i/>
          <w:color w:val="auto"/>
        </w:rPr>
        <w:t xml:space="preserve"> production</w:t>
      </w:r>
      <w:r w:rsidR="00D218F3" w:rsidRPr="00E159EF">
        <w:rPr>
          <w:rFonts w:ascii="Times New Roman" w:eastAsia="Calibri" w:hAnsi="Times New Roman" w:cs="Times New Roman"/>
          <w:b/>
          <w:i/>
          <w:color w:val="auto"/>
        </w:rPr>
        <w:t xml:space="preserve"> </w:t>
      </w:r>
      <w:r w:rsidR="00D218F3" w:rsidRPr="00E159EF">
        <w:rPr>
          <w:rFonts w:ascii="Times New Roman" w:eastAsia="Calibri" w:hAnsi="Times New Roman" w:cs="Times New Roman"/>
          <w:i/>
          <w:color w:val="auto"/>
        </w:rPr>
        <w:t xml:space="preserve">on an </w:t>
      </w:r>
      <w:r w:rsidR="00D218F3" w:rsidRPr="00E159EF">
        <w:rPr>
          <w:rFonts w:ascii="Times New Roman" w:eastAsia="Calibri" w:hAnsi="Times New Roman" w:cs="Times New Roman"/>
          <w:b/>
          <w:i/>
          <w:color w:val="auto"/>
        </w:rPr>
        <w:t>annual basis</w:t>
      </w:r>
      <w:r w:rsidR="003C7BD2" w:rsidRPr="00E159EF">
        <w:rPr>
          <w:rFonts w:ascii="Times New Roman" w:eastAsia="Calibri" w:hAnsi="Times New Roman" w:cs="Times New Roman"/>
          <w:color w:val="auto"/>
        </w:rPr>
        <w:t>.</w:t>
      </w:r>
    </w:p>
    <w:p w:rsidR="004D415E" w:rsidRPr="00E159EF" w:rsidRDefault="004D415E" w:rsidP="00015B0A">
      <w:pPr>
        <w:pStyle w:val="Normal1"/>
        <w:spacing w:after="200"/>
        <w:ind w:left="720"/>
        <w:rPr>
          <w:rFonts w:ascii="Times New Roman" w:eastAsia="Calibri" w:hAnsi="Times New Roman" w:cs="Times New Roman"/>
          <w:i/>
        </w:rPr>
      </w:pPr>
      <w:r w:rsidRPr="00E159EF">
        <w:rPr>
          <w:rFonts w:ascii="Times New Roman" w:eastAsia="Calibri" w:hAnsi="Times New Roman" w:cs="Times New Roman"/>
          <w:b/>
        </w:rPr>
        <w:t>Off-site-NZEB:</w:t>
      </w:r>
      <w:r w:rsidRPr="00E159EF">
        <w:rPr>
          <w:rFonts w:ascii="Times New Roman" w:eastAsia="Calibri" w:hAnsi="Times New Roman" w:cs="Times New Roman"/>
        </w:rPr>
        <w:t xml:space="preserve"> </w:t>
      </w:r>
      <w:r w:rsidRPr="00E159EF">
        <w:rPr>
          <w:rFonts w:ascii="Times New Roman" w:eastAsia="Calibri" w:hAnsi="Times New Roman" w:cs="Times New Roman"/>
          <w:i/>
        </w:rPr>
        <w:t xml:space="preserve">an energy-efficient building where the </w:t>
      </w:r>
      <w:r w:rsidRPr="00E159EF">
        <w:rPr>
          <w:rFonts w:ascii="Times New Roman" w:eastAsia="Calibri" w:hAnsi="Times New Roman" w:cs="Times New Roman"/>
          <w:b/>
          <w:i/>
        </w:rPr>
        <w:t>actual source energy</w:t>
      </w:r>
      <w:r w:rsidRPr="00E159EF">
        <w:rPr>
          <w:rFonts w:ascii="Times New Roman" w:eastAsia="Calibri" w:hAnsi="Times New Roman" w:cs="Times New Roman"/>
          <w:i/>
        </w:rPr>
        <w:t xml:space="preserve"> consumption measured at the </w:t>
      </w:r>
      <w:r w:rsidRPr="00E159EF">
        <w:rPr>
          <w:rFonts w:ascii="Times New Roman" w:eastAsia="Calibri" w:hAnsi="Times New Roman" w:cs="Times New Roman"/>
          <w:b/>
          <w:i/>
        </w:rPr>
        <w:t>site boundary</w:t>
      </w:r>
      <w:r w:rsidRPr="00E159EF">
        <w:rPr>
          <w:rFonts w:ascii="Times New Roman" w:eastAsia="Calibri" w:hAnsi="Times New Roman" w:cs="Times New Roman"/>
          <w:i/>
        </w:rPr>
        <w:t xml:space="preserve"> is balanced by </w:t>
      </w:r>
      <w:r w:rsidRPr="00E159EF">
        <w:rPr>
          <w:rFonts w:ascii="Times New Roman" w:eastAsia="Calibri" w:hAnsi="Times New Roman" w:cs="Times New Roman"/>
          <w:b/>
          <w:i/>
        </w:rPr>
        <w:t>on-site</w:t>
      </w:r>
      <w:r w:rsidRPr="00E159EF">
        <w:rPr>
          <w:rFonts w:ascii="Times New Roman" w:eastAsia="Calibri" w:hAnsi="Times New Roman" w:cs="Times New Roman"/>
          <w:i/>
        </w:rPr>
        <w:t xml:space="preserve"> </w:t>
      </w:r>
      <w:r w:rsidRPr="00E159EF">
        <w:rPr>
          <w:rFonts w:ascii="Times New Roman" w:eastAsia="Calibri" w:hAnsi="Times New Roman" w:cs="Times New Roman"/>
          <w:b/>
          <w:i/>
        </w:rPr>
        <w:t>renewable energy</w:t>
      </w:r>
      <w:r w:rsidR="00B84982" w:rsidRPr="00E159EF">
        <w:rPr>
          <w:rFonts w:ascii="Times New Roman" w:eastAsia="Calibri" w:hAnsi="Times New Roman" w:cs="Times New Roman"/>
          <w:b/>
          <w:i/>
        </w:rPr>
        <w:t xml:space="preserve"> production</w:t>
      </w:r>
      <w:r w:rsidRPr="00E159EF">
        <w:rPr>
          <w:rFonts w:ascii="Times New Roman" w:eastAsia="Calibri" w:hAnsi="Times New Roman" w:cs="Times New Roman"/>
        </w:rPr>
        <w:t xml:space="preserve"> </w:t>
      </w:r>
      <w:r w:rsidRPr="00E159EF">
        <w:rPr>
          <w:rFonts w:ascii="Times New Roman" w:eastAsia="Calibri" w:hAnsi="Times New Roman" w:cs="Times New Roman"/>
          <w:i/>
        </w:rPr>
        <w:t xml:space="preserve">to the maximum extent possible and then utilizes </w:t>
      </w:r>
      <w:r w:rsidRPr="00E159EF">
        <w:rPr>
          <w:rFonts w:ascii="Times New Roman" w:eastAsia="Calibri" w:hAnsi="Times New Roman" w:cs="Times New Roman"/>
          <w:b/>
          <w:i/>
        </w:rPr>
        <w:t>off-site renewable energy</w:t>
      </w:r>
      <w:r w:rsidR="00B84982" w:rsidRPr="00E159EF">
        <w:rPr>
          <w:rFonts w:ascii="Times New Roman" w:eastAsia="Calibri" w:hAnsi="Times New Roman" w:cs="Times New Roman"/>
          <w:b/>
          <w:i/>
        </w:rPr>
        <w:t xml:space="preserve"> production</w:t>
      </w:r>
      <w:r w:rsidR="00D218F3" w:rsidRPr="00E159EF">
        <w:rPr>
          <w:rFonts w:ascii="Times New Roman" w:eastAsia="Calibri" w:hAnsi="Times New Roman" w:cs="Times New Roman"/>
          <w:b/>
          <w:i/>
        </w:rPr>
        <w:t xml:space="preserve"> </w:t>
      </w:r>
      <w:r w:rsidR="00D218F3" w:rsidRPr="00E159EF">
        <w:rPr>
          <w:rFonts w:ascii="Times New Roman" w:eastAsia="Calibri" w:hAnsi="Times New Roman" w:cs="Times New Roman"/>
          <w:i/>
        </w:rPr>
        <w:t xml:space="preserve">to make up the difference </w:t>
      </w:r>
      <w:r w:rsidR="00D218F3" w:rsidRPr="00E159EF">
        <w:rPr>
          <w:rFonts w:ascii="Times New Roman" w:eastAsia="Calibri" w:hAnsi="Times New Roman" w:cs="Times New Roman"/>
          <w:i/>
          <w:color w:val="auto"/>
        </w:rPr>
        <w:t xml:space="preserve">on an </w:t>
      </w:r>
      <w:r w:rsidR="00D218F3" w:rsidRPr="00E159EF">
        <w:rPr>
          <w:rFonts w:ascii="Times New Roman" w:eastAsia="Calibri" w:hAnsi="Times New Roman" w:cs="Times New Roman"/>
          <w:b/>
          <w:i/>
          <w:color w:val="auto"/>
        </w:rPr>
        <w:t>annual basis</w:t>
      </w:r>
      <w:r w:rsidRPr="00E159EF">
        <w:rPr>
          <w:rFonts w:ascii="Times New Roman" w:eastAsia="Calibri" w:hAnsi="Times New Roman" w:cs="Times New Roman"/>
          <w:i/>
        </w:rPr>
        <w:t>.</w:t>
      </w:r>
    </w:p>
    <w:p w:rsidR="00E416D4" w:rsidRPr="00E159EF" w:rsidRDefault="004D415E" w:rsidP="00015B0A">
      <w:pPr>
        <w:pStyle w:val="Normal1"/>
        <w:spacing w:after="200"/>
        <w:ind w:left="720"/>
        <w:rPr>
          <w:rFonts w:ascii="Times New Roman" w:eastAsia="Calibri" w:hAnsi="Times New Roman" w:cs="Times New Roman"/>
          <w:b/>
        </w:rPr>
      </w:pPr>
      <w:r w:rsidRPr="00E159EF">
        <w:rPr>
          <w:rFonts w:ascii="Times New Roman" w:eastAsia="Calibri" w:hAnsi="Times New Roman" w:cs="Times New Roman"/>
          <w:b/>
        </w:rPr>
        <w:t>REC-NZEB:</w:t>
      </w:r>
      <w:r w:rsidRPr="00E159EF">
        <w:rPr>
          <w:rFonts w:ascii="Times New Roman" w:eastAsia="Calibri" w:hAnsi="Times New Roman" w:cs="Times New Roman"/>
        </w:rPr>
        <w:t xml:space="preserve"> </w:t>
      </w:r>
      <w:r w:rsidRPr="00E159EF">
        <w:rPr>
          <w:rFonts w:ascii="Times New Roman" w:eastAsia="Calibri" w:hAnsi="Times New Roman" w:cs="Times New Roman"/>
          <w:i/>
        </w:rPr>
        <w:t xml:space="preserve">an energy-efficient building where the </w:t>
      </w:r>
      <w:r w:rsidRPr="00E159EF">
        <w:rPr>
          <w:rFonts w:ascii="Times New Roman" w:eastAsia="Calibri" w:hAnsi="Times New Roman" w:cs="Times New Roman"/>
          <w:b/>
          <w:i/>
        </w:rPr>
        <w:t>actual source energy</w:t>
      </w:r>
      <w:r w:rsidRPr="00E159EF">
        <w:rPr>
          <w:rFonts w:ascii="Times New Roman" w:eastAsia="Calibri" w:hAnsi="Times New Roman" w:cs="Times New Roman"/>
          <w:i/>
        </w:rPr>
        <w:t xml:space="preserve"> consumption measured at the </w:t>
      </w:r>
      <w:r w:rsidRPr="00E159EF">
        <w:rPr>
          <w:rFonts w:ascii="Times New Roman" w:eastAsia="Calibri" w:hAnsi="Times New Roman" w:cs="Times New Roman"/>
          <w:b/>
          <w:i/>
        </w:rPr>
        <w:t>site boundary</w:t>
      </w:r>
      <w:r w:rsidRPr="00E159EF">
        <w:rPr>
          <w:rFonts w:ascii="Times New Roman" w:eastAsia="Calibri" w:hAnsi="Times New Roman" w:cs="Times New Roman"/>
          <w:i/>
        </w:rPr>
        <w:t xml:space="preserve"> is balanced by </w:t>
      </w:r>
      <w:r w:rsidRPr="00E159EF">
        <w:rPr>
          <w:rFonts w:ascii="Times New Roman" w:eastAsia="Calibri" w:hAnsi="Times New Roman" w:cs="Times New Roman"/>
          <w:b/>
          <w:i/>
        </w:rPr>
        <w:t>on-site</w:t>
      </w:r>
      <w:r w:rsidRPr="00E159EF">
        <w:rPr>
          <w:rFonts w:ascii="Times New Roman" w:eastAsia="Calibri" w:hAnsi="Times New Roman" w:cs="Times New Roman"/>
          <w:i/>
        </w:rPr>
        <w:t xml:space="preserve"> </w:t>
      </w:r>
      <w:r w:rsidRPr="00E159EF">
        <w:rPr>
          <w:rFonts w:ascii="Times New Roman" w:eastAsia="Calibri" w:hAnsi="Times New Roman" w:cs="Times New Roman"/>
          <w:b/>
          <w:i/>
        </w:rPr>
        <w:t>renewable energy</w:t>
      </w:r>
      <w:r w:rsidR="00B84982" w:rsidRPr="00E159EF">
        <w:rPr>
          <w:rFonts w:ascii="Times New Roman" w:eastAsia="Calibri" w:hAnsi="Times New Roman" w:cs="Times New Roman"/>
          <w:b/>
          <w:i/>
        </w:rPr>
        <w:t xml:space="preserve"> production</w:t>
      </w:r>
      <w:r w:rsidRPr="00E159EF">
        <w:rPr>
          <w:rFonts w:ascii="Times New Roman" w:eastAsia="Calibri" w:hAnsi="Times New Roman" w:cs="Times New Roman"/>
        </w:rPr>
        <w:t xml:space="preserve"> </w:t>
      </w:r>
      <w:r w:rsidRPr="00E159EF">
        <w:rPr>
          <w:rFonts w:ascii="Times New Roman" w:eastAsia="Calibri" w:hAnsi="Times New Roman" w:cs="Times New Roman"/>
          <w:i/>
        </w:rPr>
        <w:t>to the maximum extent possible and then utilizes Renewable Energy Credits (RECs) from certified sources</w:t>
      </w:r>
      <w:r w:rsidR="00D218F3" w:rsidRPr="00E159EF">
        <w:rPr>
          <w:rFonts w:ascii="Times New Roman" w:eastAsia="Calibri" w:hAnsi="Times New Roman" w:cs="Times New Roman"/>
          <w:i/>
        </w:rPr>
        <w:t xml:space="preserve"> to make up the difference </w:t>
      </w:r>
      <w:r w:rsidR="00D218F3" w:rsidRPr="00E159EF">
        <w:rPr>
          <w:rFonts w:ascii="Times New Roman" w:eastAsia="Calibri" w:hAnsi="Times New Roman" w:cs="Times New Roman"/>
          <w:i/>
          <w:color w:val="auto"/>
        </w:rPr>
        <w:t xml:space="preserve">on an </w:t>
      </w:r>
      <w:r w:rsidR="00D218F3" w:rsidRPr="00E159EF">
        <w:rPr>
          <w:rFonts w:ascii="Times New Roman" w:eastAsia="Calibri" w:hAnsi="Times New Roman" w:cs="Times New Roman"/>
          <w:b/>
          <w:i/>
          <w:color w:val="auto"/>
        </w:rPr>
        <w:t>annual basis</w:t>
      </w:r>
      <w:r w:rsidRPr="00E159EF">
        <w:rPr>
          <w:rFonts w:ascii="Times New Roman" w:eastAsia="Calibri" w:hAnsi="Times New Roman" w:cs="Times New Roman"/>
          <w:i/>
        </w:rPr>
        <w:t>.</w:t>
      </w:r>
    </w:p>
    <w:p w:rsidR="00E416D4" w:rsidRPr="00E159EF" w:rsidRDefault="00D218F3" w:rsidP="004D415E">
      <w:pPr>
        <w:pStyle w:val="Normal1"/>
        <w:spacing w:after="200"/>
        <w:rPr>
          <w:rFonts w:ascii="Times New Roman" w:eastAsia="Calibri" w:hAnsi="Times New Roman" w:cs="Times New Roman"/>
          <w:b/>
          <w:i/>
          <w:color w:val="auto"/>
        </w:rPr>
      </w:pPr>
      <w:r w:rsidRPr="00E159EF">
        <w:rPr>
          <w:rFonts w:ascii="Times New Roman" w:eastAsia="Calibri" w:hAnsi="Times New Roman" w:cs="Times New Roman"/>
          <w:b/>
          <w:i/>
          <w:color w:val="auto"/>
        </w:rPr>
        <w:t>NZE definitions for groups of buildings:</w:t>
      </w:r>
    </w:p>
    <w:p w:rsidR="00516A0D" w:rsidRPr="00502FAD" w:rsidRDefault="00516A0D" w:rsidP="00015B0A">
      <w:pPr>
        <w:pStyle w:val="Normal1"/>
        <w:spacing w:after="200"/>
        <w:ind w:left="720"/>
        <w:rPr>
          <w:rFonts w:ascii="Times New Roman" w:eastAsia="Calibri" w:hAnsi="Times New Roman" w:cs="Times New Roman"/>
          <w:color w:val="000000" w:themeColor="text1"/>
        </w:rPr>
      </w:pPr>
      <w:r w:rsidRPr="00502FAD">
        <w:rPr>
          <w:rFonts w:ascii="Times New Roman" w:eastAsia="Calibri" w:hAnsi="Times New Roman" w:cs="Times New Roman"/>
          <w:b/>
          <w:color w:val="000000" w:themeColor="text1"/>
        </w:rPr>
        <w:t xml:space="preserve">NZEB Portfolio: </w:t>
      </w:r>
      <w:r w:rsidR="00502FAD" w:rsidRPr="00502FAD">
        <w:rPr>
          <w:rFonts w:ascii="Times New Roman" w:eastAsia="Calibri" w:hAnsi="Times New Roman" w:cs="Times New Roman"/>
          <w:i/>
        </w:rPr>
        <w:t xml:space="preserve">a group of buildings on individual sites where the aggregate </w:t>
      </w:r>
      <w:r w:rsidR="00502FAD" w:rsidRPr="00502FAD">
        <w:rPr>
          <w:rFonts w:ascii="Times New Roman" w:eastAsia="Calibri" w:hAnsi="Times New Roman" w:cs="Times New Roman"/>
          <w:b/>
          <w:i/>
        </w:rPr>
        <w:t>actual source energy</w:t>
      </w:r>
      <w:r w:rsidR="00502FAD" w:rsidRPr="00502FAD">
        <w:rPr>
          <w:rFonts w:ascii="Times New Roman" w:eastAsia="Calibri" w:hAnsi="Times New Roman" w:cs="Times New Roman"/>
          <w:i/>
        </w:rPr>
        <w:t xml:space="preserve"> consumption measured at the </w:t>
      </w:r>
      <w:r w:rsidR="00502FAD" w:rsidRPr="00502FAD">
        <w:rPr>
          <w:rFonts w:ascii="Times New Roman" w:eastAsia="Calibri" w:hAnsi="Times New Roman" w:cs="Times New Roman"/>
          <w:b/>
          <w:i/>
        </w:rPr>
        <w:t>site portfolio boundary</w:t>
      </w:r>
      <w:r w:rsidR="00502FAD" w:rsidRPr="00502FAD">
        <w:rPr>
          <w:rFonts w:ascii="Times New Roman" w:eastAsia="Calibri" w:hAnsi="Times New Roman" w:cs="Times New Roman"/>
          <w:i/>
        </w:rPr>
        <w:t xml:space="preserve"> is balanced by </w:t>
      </w:r>
      <w:r w:rsidR="00502FAD" w:rsidRPr="00502FAD">
        <w:rPr>
          <w:rFonts w:ascii="Times New Roman" w:eastAsia="Calibri" w:hAnsi="Times New Roman" w:cs="Times New Roman"/>
          <w:b/>
          <w:i/>
        </w:rPr>
        <w:t>on-site</w:t>
      </w:r>
      <w:r w:rsidR="00502FAD" w:rsidRPr="00502FAD">
        <w:rPr>
          <w:rFonts w:ascii="Times New Roman" w:eastAsia="Calibri" w:hAnsi="Times New Roman" w:cs="Times New Roman"/>
          <w:i/>
        </w:rPr>
        <w:t xml:space="preserve"> </w:t>
      </w:r>
      <w:r w:rsidR="00502FAD" w:rsidRPr="00502FAD">
        <w:rPr>
          <w:rFonts w:ascii="Times New Roman" w:eastAsia="Calibri" w:hAnsi="Times New Roman" w:cs="Times New Roman"/>
          <w:b/>
          <w:i/>
        </w:rPr>
        <w:t xml:space="preserve">renewable energy production </w:t>
      </w:r>
      <w:r w:rsidR="00502FAD" w:rsidRPr="00502FAD">
        <w:rPr>
          <w:rFonts w:ascii="Times New Roman" w:eastAsia="Calibri" w:hAnsi="Times New Roman" w:cs="Times New Roman"/>
          <w:i/>
        </w:rPr>
        <w:t>on an</w:t>
      </w:r>
      <w:r w:rsidR="00502FAD" w:rsidRPr="00502FAD">
        <w:rPr>
          <w:rFonts w:ascii="Times New Roman" w:eastAsia="Calibri" w:hAnsi="Times New Roman" w:cs="Times New Roman"/>
          <w:b/>
          <w:i/>
        </w:rPr>
        <w:t xml:space="preserve"> annual basis</w:t>
      </w:r>
      <w:r w:rsidR="00502FAD" w:rsidRPr="00502FAD">
        <w:rPr>
          <w:rFonts w:ascii="Times New Roman" w:eastAsia="Calibri" w:hAnsi="Times New Roman" w:cs="Times New Roman"/>
        </w:rPr>
        <w:t>.</w:t>
      </w:r>
    </w:p>
    <w:p w:rsidR="00516A0D" w:rsidRPr="00502FAD" w:rsidRDefault="00516A0D" w:rsidP="00015B0A">
      <w:pPr>
        <w:pStyle w:val="Normal1"/>
        <w:spacing w:after="200"/>
        <w:ind w:left="720"/>
        <w:rPr>
          <w:rFonts w:ascii="Times New Roman" w:eastAsia="Calibri" w:hAnsi="Times New Roman" w:cs="Times New Roman"/>
          <w:color w:val="auto"/>
        </w:rPr>
      </w:pPr>
      <w:r w:rsidRPr="00502FAD">
        <w:rPr>
          <w:rFonts w:ascii="Times New Roman" w:eastAsia="Calibri" w:hAnsi="Times New Roman" w:cs="Times New Roman"/>
          <w:b/>
          <w:color w:val="auto"/>
        </w:rPr>
        <w:t xml:space="preserve">NZEB Campus: </w:t>
      </w:r>
      <w:r w:rsidR="00502FAD" w:rsidRPr="00502FAD">
        <w:rPr>
          <w:rFonts w:ascii="Times New Roman" w:eastAsia="Calibri" w:hAnsi="Times New Roman" w:cs="Times New Roman"/>
          <w:i/>
        </w:rPr>
        <w:t xml:space="preserve">a group of buildings on a contiguous site where the aggregate </w:t>
      </w:r>
      <w:r w:rsidR="00502FAD" w:rsidRPr="00502FAD">
        <w:rPr>
          <w:rFonts w:ascii="Times New Roman" w:eastAsia="Calibri" w:hAnsi="Times New Roman" w:cs="Times New Roman"/>
          <w:b/>
          <w:i/>
        </w:rPr>
        <w:t>actual source energy</w:t>
      </w:r>
      <w:r w:rsidR="00502FAD" w:rsidRPr="00502FAD">
        <w:rPr>
          <w:rFonts w:ascii="Times New Roman" w:eastAsia="Calibri" w:hAnsi="Times New Roman" w:cs="Times New Roman"/>
          <w:i/>
        </w:rPr>
        <w:t xml:space="preserve"> consumption measured at the </w:t>
      </w:r>
      <w:r w:rsidR="00502FAD" w:rsidRPr="00502FAD">
        <w:rPr>
          <w:rFonts w:ascii="Times New Roman" w:eastAsia="Calibri" w:hAnsi="Times New Roman" w:cs="Times New Roman"/>
          <w:b/>
          <w:i/>
        </w:rPr>
        <w:t>campus boundary</w:t>
      </w:r>
      <w:r w:rsidR="00502FAD" w:rsidRPr="00502FAD">
        <w:rPr>
          <w:rFonts w:ascii="Times New Roman" w:eastAsia="Calibri" w:hAnsi="Times New Roman" w:cs="Times New Roman"/>
          <w:i/>
        </w:rPr>
        <w:t xml:space="preserve"> is balanced by </w:t>
      </w:r>
      <w:r w:rsidR="00502FAD" w:rsidRPr="00502FAD">
        <w:rPr>
          <w:rFonts w:ascii="Times New Roman" w:eastAsia="Calibri" w:hAnsi="Times New Roman" w:cs="Times New Roman"/>
          <w:b/>
          <w:i/>
        </w:rPr>
        <w:t>on-site</w:t>
      </w:r>
      <w:r w:rsidR="00502FAD" w:rsidRPr="00502FAD">
        <w:rPr>
          <w:rFonts w:ascii="Times New Roman" w:eastAsia="Calibri" w:hAnsi="Times New Roman" w:cs="Times New Roman"/>
          <w:i/>
        </w:rPr>
        <w:t xml:space="preserve"> </w:t>
      </w:r>
      <w:r w:rsidR="00502FAD" w:rsidRPr="00502FAD">
        <w:rPr>
          <w:rFonts w:ascii="Times New Roman" w:eastAsia="Calibri" w:hAnsi="Times New Roman" w:cs="Times New Roman"/>
          <w:b/>
          <w:i/>
        </w:rPr>
        <w:t>renewable energy production</w:t>
      </w:r>
      <w:r w:rsidR="00502FAD" w:rsidRPr="00502FAD">
        <w:rPr>
          <w:rFonts w:ascii="Times New Roman" w:eastAsia="Calibri" w:hAnsi="Times New Roman" w:cs="Times New Roman"/>
          <w:i/>
        </w:rPr>
        <w:t xml:space="preserve"> on an </w:t>
      </w:r>
      <w:r w:rsidR="00502FAD" w:rsidRPr="00502FAD">
        <w:rPr>
          <w:rFonts w:ascii="Times New Roman" w:eastAsia="Calibri" w:hAnsi="Times New Roman" w:cs="Times New Roman"/>
          <w:b/>
          <w:i/>
        </w:rPr>
        <w:t>annual basis</w:t>
      </w:r>
      <w:r w:rsidR="00502FAD" w:rsidRPr="00502FAD">
        <w:rPr>
          <w:rFonts w:ascii="Times New Roman" w:eastAsia="Calibri" w:hAnsi="Times New Roman" w:cs="Times New Roman"/>
        </w:rPr>
        <w:t>.</w:t>
      </w:r>
    </w:p>
    <w:p w:rsidR="005A669B" w:rsidRPr="00E159EF" w:rsidRDefault="00015B0A">
      <w:pPr>
        <w:pStyle w:val="Normal1"/>
        <w:spacing w:after="200"/>
        <w:rPr>
          <w:rFonts w:ascii="Times New Roman" w:hAnsi="Times New Roman" w:cs="Times New Roman"/>
          <w:color w:val="auto"/>
        </w:rPr>
      </w:pPr>
      <w:r w:rsidRPr="00E159EF">
        <w:rPr>
          <w:rFonts w:ascii="Times New Roman" w:hAnsi="Times New Roman" w:cs="Times New Roman"/>
          <w:i/>
          <w:color w:val="auto"/>
          <w:sz w:val="20"/>
        </w:rPr>
        <w:lastRenderedPageBreak/>
        <w:t>NOTE: Multi-stor</w:t>
      </w:r>
      <w:r w:rsidR="00EE3AF8">
        <w:rPr>
          <w:rFonts w:ascii="Times New Roman" w:hAnsi="Times New Roman" w:cs="Times New Roman"/>
          <w:i/>
          <w:color w:val="auto"/>
          <w:sz w:val="20"/>
        </w:rPr>
        <w:t>y</w:t>
      </w:r>
      <w:r w:rsidRPr="00E159EF">
        <w:rPr>
          <w:rFonts w:ascii="Times New Roman" w:hAnsi="Times New Roman" w:cs="Times New Roman"/>
          <w:i/>
          <w:color w:val="auto"/>
          <w:sz w:val="20"/>
        </w:rPr>
        <w:t xml:space="preserve"> buildings occupying entire lots, especially those located in urban </w:t>
      </w:r>
      <w:proofErr w:type="gramStart"/>
      <w:r w:rsidRPr="00E159EF">
        <w:rPr>
          <w:rFonts w:ascii="Times New Roman" w:hAnsi="Times New Roman" w:cs="Times New Roman"/>
          <w:i/>
          <w:color w:val="auto"/>
          <w:sz w:val="20"/>
        </w:rPr>
        <w:t>areas,</w:t>
      </w:r>
      <w:proofErr w:type="gramEnd"/>
      <w:r w:rsidRPr="00E159EF">
        <w:rPr>
          <w:rFonts w:ascii="Times New Roman" w:hAnsi="Times New Roman" w:cs="Times New Roman"/>
          <w:i/>
          <w:color w:val="auto"/>
          <w:sz w:val="20"/>
        </w:rPr>
        <w:t xml:space="preserve"> </w:t>
      </w:r>
      <w:r w:rsidR="00516A0D" w:rsidRPr="00E159EF">
        <w:rPr>
          <w:rFonts w:ascii="Times New Roman" w:hAnsi="Times New Roman" w:cs="Times New Roman"/>
          <w:i/>
          <w:color w:val="auto"/>
          <w:sz w:val="20"/>
        </w:rPr>
        <w:t xml:space="preserve">may require off-site or REC NZEB </w:t>
      </w:r>
      <w:r w:rsidR="005A669B" w:rsidRPr="00E159EF">
        <w:rPr>
          <w:rFonts w:ascii="Times New Roman" w:hAnsi="Times New Roman" w:cs="Times New Roman"/>
          <w:i/>
          <w:color w:val="auto"/>
          <w:sz w:val="20"/>
        </w:rPr>
        <w:t xml:space="preserve">strategies </w:t>
      </w:r>
      <w:r w:rsidR="008332F4" w:rsidRPr="00E159EF">
        <w:rPr>
          <w:rFonts w:ascii="Times New Roman" w:hAnsi="Times New Roman" w:cs="Times New Roman"/>
          <w:i/>
          <w:color w:val="auto"/>
          <w:sz w:val="20"/>
        </w:rPr>
        <w:t xml:space="preserve">since </w:t>
      </w:r>
      <w:r w:rsidR="005A669B" w:rsidRPr="00E159EF">
        <w:rPr>
          <w:rFonts w:ascii="Times New Roman" w:hAnsi="Times New Roman" w:cs="Times New Roman"/>
          <w:i/>
          <w:color w:val="auto"/>
          <w:sz w:val="20"/>
        </w:rPr>
        <w:t xml:space="preserve">their built-up area </w:t>
      </w:r>
      <w:r w:rsidR="008332F4" w:rsidRPr="00E159EF">
        <w:rPr>
          <w:rFonts w:ascii="Times New Roman" w:hAnsi="Times New Roman" w:cs="Times New Roman"/>
          <w:i/>
          <w:color w:val="auto"/>
          <w:sz w:val="20"/>
        </w:rPr>
        <w:t xml:space="preserve">may result in </w:t>
      </w:r>
      <w:r w:rsidR="005A669B" w:rsidRPr="00E159EF">
        <w:rPr>
          <w:rFonts w:ascii="Times New Roman" w:hAnsi="Times New Roman" w:cs="Times New Roman"/>
          <w:i/>
          <w:color w:val="auto"/>
          <w:sz w:val="20"/>
        </w:rPr>
        <w:t xml:space="preserve">commensurate energy requirements </w:t>
      </w:r>
      <w:r w:rsidR="008332F4" w:rsidRPr="00E159EF">
        <w:rPr>
          <w:rFonts w:ascii="Times New Roman" w:hAnsi="Times New Roman" w:cs="Times New Roman"/>
          <w:i/>
          <w:color w:val="auto"/>
          <w:sz w:val="20"/>
        </w:rPr>
        <w:t>that are</w:t>
      </w:r>
      <w:r w:rsidR="005A669B" w:rsidRPr="00E159EF">
        <w:rPr>
          <w:rFonts w:ascii="Times New Roman" w:hAnsi="Times New Roman" w:cs="Times New Roman"/>
          <w:i/>
          <w:color w:val="auto"/>
          <w:sz w:val="20"/>
        </w:rPr>
        <w:t xml:space="preserve"> </w:t>
      </w:r>
      <w:r w:rsidRPr="00E159EF">
        <w:rPr>
          <w:rFonts w:ascii="Times New Roman" w:hAnsi="Times New Roman" w:cs="Times New Roman"/>
          <w:i/>
          <w:color w:val="auto"/>
          <w:sz w:val="20"/>
        </w:rPr>
        <w:t xml:space="preserve">difficult </w:t>
      </w:r>
      <w:r w:rsidR="005A669B" w:rsidRPr="00E159EF">
        <w:rPr>
          <w:rFonts w:ascii="Times New Roman" w:hAnsi="Times New Roman" w:cs="Times New Roman"/>
          <w:i/>
          <w:color w:val="auto"/>
          <w:sz w:val="20"/>
        </w:rPr>
        <w:t xml:space="preserve">to meet </w:t>
      </w:r>
      <w:r w:rsidR="008332F4" w:rsidRPr="00E159EF">
        <w:rPr>
          <w:rFonts w:ascii="Times New Roman" w:hAnsi="Times New Roman" w:cs="Times New Roman"/>
          <w:i/>
          <w:color w:val="auto"/>
          <w:sz w:val="20"/>
        </w:rPr>
        <w:t xml:space="preserve">with </w:t>
      </w:r>
      <w:r w:rsidR="005A669B" w:rsidRPr="00E159EF">
        <w:rPr>
          <w:rFonts w:ascii="Times New Roman" w:hAnsi="Times New Roman" w:cs="Times New Roman"/>
          <w:i/>
          <w:color w:val="auto"/>
          <w:sz w:val="20"/>
        </w:rPr>
        <w:t>on-site renewable energy generation; however, these buildings are not inherently unsustainable. Once travel</w:t>
      </w:r>
      <w:r w:rsidR="00957EA7">
        <w:rPr>
          <w:rFonts w:ascii="Times New Roman" w:hAnsi="Times New Roman" w:cs="Times New Roman"/>
          <w:i/>
          <w:color w:val="auto"/>
          <w:sz w:val="20"/>
        </w:rPr>
        <w:t>-</w:t>
      </w:r>
      <w:r w:rsidR="005A669B" w:rsidRPr="00E159EF">
        <w:rPr>
          <w:rFonts w:ascii="Times New Roman" w:hAnsi="Times New Roman" w:cs="Times New Roman"/>
          <w:i/>
          <w:color w:val="auto"/>
          <w:sz w:val="20"/>
        </w:rPr>
        <w:t xml:space="preserve"> and </w:t>
      </w:r>
      <w:r w:rsidR="00957EA7" w:rsidRPr="00E159EF">
        <w:rPr>
          <w:rFonts w:ascii="Times New Roman" w:hAnsi="Times New Roman" w:cs="Times New Roman"/>
          <w:i/>
          <w:color w:val="auto"/>
          <w:sz w:val="20"/>
        </w:rPr>
        <w:t>transportation</w:t>
      </w:r>
      <w:r w:rsidR="00957EA7">
        <w:rPr>
          <w:rFonts w:ascii="Times New Roman" w:hAnsi="Times New Roman" w:cs="Times New Roman"/>
          <w:i/>
          <w:color w:val="auto"/>
          <w:sz w:val="20"/>
        </w:rPr>
        <w:t>-</w:t>
      </w:r>
      <w:r w:rsidR="005A669B" w:rsidRPr="00E159EF">
        <w:rPr>
          <w:rFonts w:ascii="Times New Roman" w:hAnsi="Times New Roman" w:cs="Times New Roman"/>
          <w:i/>
          <w:color w:val="auto"/>
          <w:sz w:val="20"/>
        </w:rPr>
        <w:t>related energy is factored in, these buildings most often have a lower per-occupant energy footprint than their suburban or rural counterparts.</w:t>
      </w:r>
      <w:r w:rsidR="005E5B8F" w:rsidRPr="00E159EF">
        <w:rPr>
          <w:rFonts w:ascii="Times New Roman" w:hAnsi="Times New Roman" w:cs="Times New Roman"/>
          <w:i/>
          <w:sz w:val="20"/>
        </w:rPr>
        <w:t xml:space="preserve"> </w:t>
      </w:r>
      <w:r w:rsidRPr="00E159EF">
        <w:rPr>
          <w:rFonts w:ascii="Times New Roman" w:hAnsi="Times New Roman" w:cs="Times New Roman"/>
          <w:i/>
          <w:sz w:val="20"/>
        </w:rPr>
        <w:t>For similar reasons, o</w:t>
      </w:r>
      <w:r w:rsidR="005E5B8F" w:rsidRPr="00E159EF">
        <w:rPr>
          <w:rFonts w:ascii="Times New Roman" w:hAnsi="Times New Roman" w:cs="Times New Roman"/>
          <w:i/>
          <w:sz w:val="20"/>
        </w:rPr>
        <w:t xml:space="preserve">ff-site-NZEB strategies may be necessary in case of </w:t>
      </w:r>
      <w:r w:rsidRPr="00E159EF">
        <w:rPr>
          <w:rFonts w:ascii="Times New Roman" w:hAnsi="Times New Roman" w:cs="Times New Roman"/>
          <w:i/>
          <w:color w:val="auto"/>
          <w:sz w:val="20"/>
        </w:rPr>
        <w:t>urban NZEB portfolios and urban NZEB campuses</w:t>
      </w:r>
      <w:r w:rsidR="005E5B8F" w:rsidRPr="00E159EF">
        <w:rPr>
          <w:rFonts w:ascii="Times New Roman" w:hAnsi="Times New Roman" w:cs="Times New Roman"/>
          <w:i/>
          <w:sz w:val="20"/>
        </w:rPr>
        <w:t xml:space="preserve">. </w:t>
      </w:r>
    </w:p>
    <w:p w:rsidR="003C7BD2" w:rsidRPr="00502FAD" w:rsidRDefault="00502FAD">
      <w:pPr>
        <w:pStyle w:val="Heading2"/>
        <w:spacing w:before="360" w:after="80"/>
        <w:contextualSpacing w:val="0"/>
        <w:rPr>
          <w:rFonts w:ascii="Times New Roman" w:hAnsi="Times New Roman" w:cs="Times New Roman"/>
          <w:color w:val="auto"/>
          <w:sz w:val="24"/>
        </w:rPr>
      </w:pPr>
      <w:bookmarkStart w:id="4" w:name="h.4yfvx5rzmvk6" w:colFirst="0" w:colLast="0"/>
      <w:bookmarkEnd w:id="4"/>
      <w:r w:rsidRPr="00502FAD">
        <w:rPr>
          <w:rFonts w:ascii="Times New Roman" w:eastAsia="Calibri" w:hAnsi="Times New Roman" w:cs="Times New Roman"/>
          <w:color w:val="auto"/>
          <w:sz w:val="24"/>
        </w:rPr>
        <w:t>Section 3:</w:t>
      </w:r>
      <w:r w:rsidR="003C7BD2" w:rsidRPr="00502FAD">
        <w:rPr>
          <w:rFonts w:ascii="Times New Roman" w:eastAsia="Calibri" w:hAnsi="Times New Roman" w:cs="Times New Roman"/>
          <w:color w:val="auto"/>
          <w:sz w:val="24"/>
        </w:rPr>
        <w:t xml:space="preserve"> </w:t>
      </w:r>
      <w:r w:rsidR="00A60306" w:rsidRPr="00502FAD">
        <w:rPr>
          <w:rFonts w:ascii="Times New Roman" w:eastAsia="Calibri" w:hAnsi="Times New Roman" w:cs="Times New Roman"/>
          <w:color w:val="auto"/>
          <w:sz w:val="24"/>
        </w:rPr>
        <w:t xml:space="preserve">Goals and Policy </w:t>
      </w:r>
      <w:r w:rsidR="003C7BD2" w:rsidRPr="00502FAD">
        <w:rPr>
          <w:rFonts w:ascii="Times New Roman" w:eastAsia="Calibri" w:hAnsi="Times New Roman" w:cs="Times New Roman"/>
          <w:color w:val="auto"/>
          <w:sz w:val="24"/>
        </w:rPr>
        <w:t xml:space="preserve">Recommendations </w:t>
      </w:r>
      <w:r w:rsidR="00A3018A" w:rsidRPr="00502FAD">
        <w:rPr>
          <w:rFonts w:ascii="Times New Roman" w:eastAsia="Calibri" w:hAnsi="Times New Roman" w:cs="Times New Roman"/>
          <w:color w:val="auto"/>
          <w:sz w:val="24"/>
        </w:rPr>
        <w:t>for the GSA and other</w:t>
      </w:r>
      <w:r w:rsidR="003C7BD2" w:rsidRPr="00502FAD">
        <w:rPr>
          <w:rFonts w:ascii="Times New Roman" w:eastAsia="Calibri" w:hAnsi="Times New Roman" w:cs="Times New Roman"/>
          <w:color w:val="auto"/>
          <w:sz w:val="24"/>
        </w:rPr>
        <w:t xml:space="preserve"> Federal </w:t>
      </w:r>
      <w:r w:rsidR="00A3018A" w:rsidRPr="00502FAD">
        <w:rPr>
          <w:rFonts w:ascii="Times New Roman" w:eastAsia="Calibri" w:hAnsi="Times New Roman" w:cs="Times New Roman"/>
          <w:color w:val="auto"/>
          <w:sz w:val="24"/>
        </w:rPr>
        <w:t>Agencies</w:t>
      </w:r>
      <w:r w:rsidR="003C7BD2" w:rsidRPr="00502FAD">
        <w:rPr>
          <w:rFonts w:ascii="Times New Roman" w:eastAsia="Calibri" w:hAnsi="Times New Roman" w:cs="Times New Roman"/>
          <w:i/>
          <w:color w:val="auto"/>
          <w:sz w:val="24"/>
        </w:rPr>
        <w:t xml:space="preserve"> </w:t>
      </w:r>
    </w:p>
    <w:p w:rsidR="003A6AB4" w:rsidRPr="00502FAD" w:rsidRDefault="003A6AB4" w:rsidP="003A6AB4">
      <w:pPr>
        <w:rPr>
          <w:rFonts w:ascii="Times New Roman" w:hAnsi="Times New Roman" w:cs="Times New Roman"/>
        </w:rPr>
      </w:pPr>
      <w:bookmarkStart w:id="5" w:name="h.jmohox4txxqz" w:colFirst="0" w:colLast="0"/>
      <w:bookmarkEnd w:id="5"/>
      <w:r w:rsidRPr="00502FAD">
        <w:rPr>
          <w:rFonts w:ascii="Times New Roman" w:hAnsi="Times New Roman" w:cs="Times New Roman"/>
        </w:rPr>
        <w:t xml:space="preserve">The overarching goal </w:t>
      </w:r>
      <w:r w:rsidR="00FD666A">
        <w:rPr>
          <w:rFonts w:ascii="Times New Roman" w:hAnsi="Times New Roman" w:cs="Times New Roman"/>
        </w:rPr>
        <w:t>proposed by the committee</w:t>
      </w:r>
      <w:r w:rsidRPr="00502FAD">
        <w:rPr>
          <w:rFonts w:ascii="Times New Roman" w:hAnsi="Times New Roman" w:cs="Times New Roman"/>
        </w:rPr>
        <w:t xml:space="preserve"> is </w:t>
      </w:r>
      <w:r w:rsidRPr="00502FAD">
        <w:rPr>
          <w:rFonts w:ascii="Times New Roman" w:hAnsi="Times New Roman" w:cs="Times New Roman"/>
          <w:b/>
        </w:rPr>
        <w:t xml:space="preserve">for the </w:t>
      </w:r>
      <w:r w:rsidR="00EE065C">
        <w:rPr>
          <w:rFonts w:ascii="Times New Roman" w:hAnsi="Times New Roman" w:cs="Times New Roman"/>
          <w:b/>
        </w:rPr>
        <w:t>federal</w:t>
      </w:r>
      <w:r w:rsidR="006206EA" w:rsidRPr="00502FAD">
        <w:rPr>
          <w:rFonts w:ascii="Times New Roman" w:hAnsi="Times New Roman" w:cs="Times New Roman"/>
          <w:b/>
        </w:rPr>
        <w:t xml:space="preserve"> government </w:t>
      </w:r>
      <w:r w:rsidRPr="00502FAD">
        <w:rPr>
          <w:rFonts w:ascii="Times New Roman" w:hAnsi="Times New Roman" w:cs="Times New Roman"/>
          <w:b/>
        </w:rPr>
        <w:t xml:space="preserve">to verify at least 50% of their building </w:t>
      </w:r>
      <w:r w:rsidR="00324DDF">
        <w:rPr>
          <w:rFonts w:ascii="Times New Roman" w:hAnsi="Times New Roman" w:cs="Times New Roman"/>
          <w:b/>
        </w:rPr>
        <w:t>area</w:t>
      </w:r>
      <w:r w:rsidRPr="00502FAD">
        <w:rPr>
          <w:rFonts w:ascii="Times New Roman" w:hAnsi="Times New Roman" w:cs="Times New Roman"/>
          <w:b/>
        </w:rPr>
        <w:t xml:space="preserve"> to achieve NZE by 2030</w:t>
      </w:r>
      <w:r w:rsidRPr="00502FAD">
        <w:rPr>
          <w:rFonts w:ascii="Times New Roman" w:hAnsi="Times New Roman" w:cs="Times New Roman"/>
        </w:rPr>
        <w:t xml:space="preserve">. </w:t>
      </w:r>
    </w:p>
    <w:p w:rsidR="003A6AB4" w:rsidRPr="00502FAD" w:rsidRDefault="003A6AB4" w:rsidP="003A6AB4">
      <w:pPr>
        <w:rPr>
          <w:rFonts w:ascii="Times New Roman" w:hAnsi="Times New Roman" w:cs="Times New Roman"/>
        </w:rPr>
      </w:pPr>
      <w:r w:rsidRPr="00502FAD">
        <w:rPr>
          <w:rFonts w:ascii="Times New Roman" w:hAnsi="Times New Roman" w:cs="Times New Roman"/>
        </w:rPr>
        <w:t xml:space="preserve">This goal and the other policy recommendations in this section echo policies by California, Massachusetts, and other state/local government entities and are supported heavily by a number of </w:t>
      </w:r>
      <w:r w:rsidR="00EE065C">
        <w:rPr>
          <w:rFonts w:ascii="Times New Roman" w:hAnsi="Times New Roman" w:cs="Times New Roman"/>
        </w:rPr>
        <w:t>federal</w:t>
      </w:r>
      <w:r w:rsidRPr="00502FAD">
        <w:rPr>
          <w:rFonts w:ascii="Times New Roman" w:hAnsi="Times New Roman" w:cs="Times New Roman"/>
        </w:rPr>
        <w:t xml:space="preserve"> legislative mandates, </w:t>
      </w:r>
      <w:r w:rsidR="00C45AE0">
        <w:rPr>
          <w:rFonts w:ascii="Times New Roman" w:hAnsi="Times New Roman" w:cs="Times New Roman"/>
        </w:rPr>
        <w:t>f</w:t>
      </w:r>
      <w:r w:rsidR="00C45AE0" w:rsidRPr="00502FAD">
        <w:rPr>
          <w:rFonts w:ascii="Times New Roman" w:hAnsi="Times New Roman" w:cs="Times New Roman"/>
        </w:rPr>
        <w:t xml:space="preserve">ederal </w:t>
      </w:r>
      <w:r w:rsidR="00C45AE0">
        <w:rPr>
          <w:rFonts w:ascii="Times New Roman" w:hAnsi="Times New Roman" w:cs="Times New Roman"/>
        </w:rPr>
        <w:t>e</w:t>
      </w:r>
      <w:r w:rsidR="00C45AE0" w:rsidRPr="00502FAD">
        <w:rPr>
          <w:rFonts w:ascii="Times New Roman" w:hAnsi="Times New Roman" w:cs="Times New Roman"/>
        </w:rPr>
        <w:t xml:space="preserve">xecutive </w:t>
      </w:r>
      <w:r w:rsidR="00C45AE0">
        <w:rPr>
          <w:rFonts w:ascii="Times New Roman" w:hAnsi="Times New Roman" w:cs="Times New Roman"/>
        </w:rPr>
        <w:t>o</w:t>
      </w:r>
      <w:r w:rsidR="00C45AE0" w:rsidRPr="00502FAD">
        <w:rPr>
          <w:rFonts w:ascii="Times New Roman" w:hAnsi="Times New Roman" w:cs="Times New Roman"/>
        </w:rPr>
        <w:t>rders</w:t>
      </w:r>
      <w:r w:rsidRPr="00502FAD">
        <w:rPr>
          <w:rFonts w:ascii="Times New Roman" w:hAnsi="Times New Roman" w:cs="Times New Roman"/>
        </w:rPr>
        <w:t xml:space="preserve">, and existing GSA goals and targets related to NZE </w:t>
      </w:r>
      <w:r w:rsidR="00A9417F">
        <w:rPr>
          <w:rFonts w:ascii="Times New Roman" w:hAnsi="Times New Roman" w:cs="Times New Roman"/>
        </w:rPr>
        <w:t>for</w:t>
      </w:r>
      <w:r w:rsidRPr="00502FAD">
        <w:rPr>
          <w:rFonts w:ascii="Times New Roman" w:hAnsi="Times New Roman" w:cs="Times New Roman"/>
        </w:rPr>
        <w:t xml:space="preserve"> federal buildings (policies listed in Appendix </w:t>
      </w:r>
      <w:r w:rsidR="006C7559">
        <w:rPr>
          <w:rFonts w:ascii="Times New Roman" w:hAnsi="Times New Roman" w:cs="Times New Roman"/>
        </w:rPr>
        <w:t>D</w:t>
      </w:r>
      <w:r w:rsidRPr="00502FAD">
        <w:rPr>
          <w:rFonts w:ascii="Times New Roman" w:hAnsi="Times New Roman" w:cs="Times New Roman"/>
        </w:rPr>
        <w:t xml:space="preserve">). </w:t>
      </w:r>
      <w:r w:rsidRPr="00502FAD">
        <w:rPr>
          <w:rFonts w:ascii="Times New Roman" w:eastAsia="Calibri" w:hAnsi="Times New Roman" w:cs="Times New Roman"/>
          <w:color w:val="auto"/>
        </w:rPr>
        <w:t xml:space="preserve">To reach the goal of converting half of its </w:t>
      </w:r>
      <w:r w:rsidR="00A9417F">
        <w:rPr>
          <w:rFonts w:ascii="Times New Roman" w:eastAsia="Calibri" w:hAnsi="Times New Roman" w:cs="Times New Roman"/>
          <w:color w:val="auto"/>
        </w:rPr>
        <w:t>building area</w:t>
      </w:r>
      <w:r w:rsidRPr="00502FAD">
        <w:rPr>
          <w:rFonts w:ascii="Times New Roman" w:eastAsia="Calibri" w:hAnsi="Times New Roman" w:cs="Times New Roman"/>
          <w:color w:val="auto"/>
        </w:rPr>
        <w:t xml:space="preserve"> to NZE by 2030, </w:t>
      </w:r>
      <w:r w:rsidR="004D79A5">
        <w:rPr>
          <w:rFonts w:ascii="Times New Roman" w:eastAsia="Calibri" w:hAnsi="Times New Roman" w:cs="Times New Roman"/>
          <w:color w:val="auto"/>
        </w:rPr>
        <w:t xml:space="preserve">the </w:t>
      </w:r>
      <w:r w:rsidRPr="00502FAD">
        <w:rPr>
          <w:rFonts w:ascii="Times New Roman" w:eastAsia="Calibri" w:hAnsi="Times New Roman" w:cs="Times New Roman"/>
          <w:color w:val="auto"/>
        </w:rPr>
        <w:t xml:space="preserve">GSA and </w:t>
      </w:r>
      <w:r w:rsidR="00EE3AF8">
        <w:rPr>
          <w:rFonts w:ascii="Times New Roman" w:eastAsia="Calibri" w:hAnsi="Times New Roman" w:cs="Times New Roman"/>
          <w:color w:val="auto"/>
        </w:rPr>
        <w:t>the</w:t>
      </w:r>
      <w:r w:rsidR="00EE3AF8" w:rsidRPr="00502FAD">
        <w:rPr>
          <w:rFonts w:ascii="Times New Roman" w:eastAsia="Calibri" w:hAnsi="Times New Roman" w:cs="Times New Roman"/>
          <w:color w:val="auto"/>
        </w:rPr>
        <w:t xml:space="preserve"> </w:t>
      </w:r>
      <w:r w:rsidR="00EE065C">
        <w:rPr>
          <w:rFonts w:ascii="Times New Roman" w:eastAsia="Calibri" w:hAnsi="Times New Roman" w:cs="Times New Roman"/>
          <w:color w:val="auto"/>
        </w:rPr>
        <w:t>federal</w:t>
      </w:r>
      <w:r w:rsidRPr="00502FAD">
        <w:rPr>
          <w:rFonts w:ascii="Times New Roman" w:eastAsia="Calibri" w:hAnsi="Times New Roman" w:cs="Times New Roman"/>
          <w:color w:val="auto"/>
        </w:rPr>
        <w:t xml:space="preserve"> </w:t>
      </w:r>
      <w:r w:rsidR="00EE3AF8">
        <w:rPr>
          <w:rFonts w:ascii="Times New Roman" w:eastAsia="Calibri" w:hAnsi="Times New Roman" w:cs="Times New Roman"/>
          <w:color w:val="auto"/>
        </w:rPr>
        <w:t>government</w:t>
      </w:r>
      <w:r w:rsidR="00EE3AF8" w:rsidRPr="00502FAD">
        <w:rPr>
          <w:rFonts w:ascii="Times New Roman" w:eastAsia="Calibri" w:hAnsi="Times New Roman" w:cs="Times New Roman"/>
          <w:color w:val="auto"/>
        </w:rPr>
        <w:t xml:space="preserve"> </w:t>
      </w:r>
      <w:r w:rsidRPr="00502FAD">
        <w:rPr>
          <w:rFonts w:ascii="Times New Roman" w:eastAsia="Calibri" w:hAnsi="Times New Roman" w:cs="Times New Roman"/>
          <w:color w:val="auto"/>
        </w:rPr>
        <w:t xml:space="preserve">need to start planning as soon as possible so that expertise and experience can be developed for later </w:t>
      </w:r>
      <w:r w:rsidR="00957EA7" w:rsidRPr="00502FAD">
        <w:rPr>
          <w:rFonts w:ascii="Times New Roman" w:eastAsia="Calibri" w:hAnsi="Times New Roman" w:cs="Times New Roman"/>
          <w:color w:val="auto"/>
        </w:rPr>
        <w:t>large</w:t>
      </w:r>
      <w:r w:rsidR="00957EA7">
        <w:rPr>
          <w:rFonts w:ascii="Times New Roman" w:eastAsia="Calibri" w:hAnsi="Times New Roman" w:cs="Times New Roman"/>
          <w:color w:val="auto"/>
        </w:rPr>
        <w:t>-</w:t>
      </w:r>
      <w:r w:rsidRPr="00502FAD">
        <w:rPr>
          <w:rFonts w:ascii="Times New Roman" w:eastAsia="Calibri" w:hAnsi="Times New Roman" w:cs="Times New Roman"/>
          <w:color w:val="auto"/>
        </w:rPr>
        <w:t>scale accelerated changes.</w:t>
      </w:r>
    </w:p>
    <w:p w:rsidR="006E04E0" w:rsidRPr="00502FAD" w:rsidRDefault="003A6AB4" w:rsidP="009B3751">
      <w:pPr>
        <w:rPr>
          <w:rFonts w:ascii="Times New Roman" w:eastAsia="Calibri" w:hAnsi="Times New Roman" w:cs="Times New Roman"/>
          <w:color w:val="auto"/>
          <w:sz w:val="24"/>
        </w:rPr>
      </w:pPr>
      <w:r w:rsidRPr="00502FAD">
        <w:rPr>
          <w:rFonts w:ascii="Times New Roman" w:hAnsi="Times New Roman" w:cs="Times New Roman"/>
        </w:rPr>
        <w:t xml:space="preserve">The improvement in the performance of federal real property assets will continue to be </w:t>
      </w:r>
      <w:r w:rsidR="00CC5D1D">
        <w:rPr>
          <w:rFonts w:ascii="Times New Roman" w:hAnsi="Times New Roman" w:cs="Times New Roman"/>
        </w:rPr>
        <w:t>an economically wise investment</w:t>
      </w:r>
      <w:r w:rsidRPr="00502FAD">
        <w:rPr>
          <w:rFonts w:ascii="Times New Roman" w:hAnsi="Times New Roman" w:cs="Times New Roman"/>
        </w:rPr>
        <w:t xml:space="preserve"> and a prudent use of taxpayer resources. The continued development and market diffusion of innovative technologies to cost effectively improve energy efficiency, and the accelerating deployment of renewable energy resources with rapidly falling costs will make this goal and the other recommended policies achievable in the given time frames. </w:t>
      </w:r>
      <w:bookmarkStart w:id="6" w:name="h.clexuzuuj58l" w:colFirst="0" w:colLast="0"/>
      <w:bookmarkEnd w:id="6"/>
    </w:p>
    <w:p w:rsidR="002707B6" w:rsidRDefault="00324DC0" w:rsidP="006E04E0">
      <w:pPr>
        <w:pStyle w:val="Normal10"/>
        <w:spacing w:after="120"/>
        <w:contextualSpacing/>
        <w:rPr>
          <w:rFonts w:ascii="Times New Roman" w:eastAsia="Calibri" w:hAnsi="Times New Roman" w:cs="Times New Roman"/>
          <w:color w:val="auto"/>
        </w:rPr>
      </w:pPr>
      <w:r>
        <w:rPr>
          <w:rFonts w:ascii="Times New Roman" w:eastAsia="Calibri" w:hAnsi="Times New Roman" w:cs="Times New Roman"/>
          <w:color w:val="auto"/>
        </w:rPr>
        <w:t>T</w:t>
      </w:r>
      <w:r w:rsidR="00324DDF">
        <w:rPr>
          <w:rFonts w:ascii="Times New Roman" w:eastAsia="Calibri" w:hAnsi="Times New Roman" w:cs="Times New Roman"/>
          <w:color w:val="auto"/>
        </w:rPr>
        <w:t>he goals listed in this document can be achieved using</w:t>
      </w:r>
      <w:r w:rsidR="002707B6" w:rsidRPr="00E159EF">
        <w:rPr>
          <w:rFonts w:ascii="Times New Roman" w:eastAsia="Calibri" w:hAnsi="Times New Roman" w:cs="Times New Roman"/>
          <w:color w:val="auto"/>
        </w:rPr>
        <w:t xml:space="preserve"> a combinati</w:t>
      </w:r>
      <w:r w:rsidR="00324DDF">
        <w:rPr>
          <w:rFonts w:ascii="Times New Roman" w:eastAsia="Calibri" w:hAnsi="Times New Roman" w:cs="Times New Roman"/>
          <w:color w:val="auto"/>
        </w:rPr>
        <w:t xml:space="preserve">on of new construction projects, </w:t>
      </w:r>
      <w:r w:rsidR="002707B6" w:rsidRPr="00E159EF">
        <w:rPr>
          <w:rFonts w:ascii="Times New Roman" w:eastAsia="Calibri" w:hAnsi="Times New Roman" w:cs="Times New Roman"/>
          <w:color w:val="auto"/>
        </w:rPr>
        <w:t xml:space="preserve">retrofit </w:t>
      </w:r>
      <w:r w:rsidR="00324DDF">
        <w:rPr>
          <w:rFonts w:ascii="Times New Roman" w:eastAsia="Calibri" w:hAnsi="Times New Roman" w:cs="Times New Roman"/>
          <w:color w:val="auto"/>
        </w:rPr>
        <w:t>projects, and NZEB leases on</w:t>
      </w:r>
      <w:r w:rsidR="002707B6" w:rsidRPr="00E159EF">
        <w:rPr>
          <w:rFonts w:ascii="Times New Roman" w:eastAsia="Calibri" w:hAnsi="Times New Roman" w:cs="Times New Roman"/>
          <w:color w:val="auto"/>
        </w:rPr>
        <w:t xml:space="preserve"> individual building</w:t>
      </w:r>
      <w:r>
        <w:rPr>
          <w:rFonts w:ascii="Times New Roman" w:eastAsia="Calibri" w:hAnsi="Times New Roman" w:cs="Times New Roman"/>
          <w:color w:val="auto"/>
        </w:rPr>
        <w:t>s</w:t>
      </w:r>
      <w:r w:rsidR="00324DDF">
        <w:rPr>
          <w:rFonts w:ascii="Times New Roman" w:eastAsia="Calibri" w:hAnsi="Times New Roman" w:cs="Times New Roman"/>
          <w:color w:val="auto"/>
        </w:rPr>
        <w:t xml:space="preserve">, </w:t>
      </w:r>
      <w:r w:rsidR="002707B6" w:rsidRPr="00E159EF">
        <w:rPr>
          <w:rFonts w:ascii="Times New Roman" w:eastAsia="Calibri" w:hAnsi="Times New Roman" w:cs="Times New Roman"/>
          <w:color w:val="auto"/>
        </w:rPr>
        <w:t>campus</w:t>
      </w:r>
      <w:r>
        <w:rPr>
          <w:rFonts w:ascii="Times New Roman" w:eastAsia="Calibri" w:hAnsi="Times New Roman" w:cs="Times New Roman"/>
          <w:color w:val="auto"/>
        </w:rPr>
        <w:t>es</w:t>
      </w:r>
      <w:r w:rsidR="00324DDF">
        <w:rPr>
          <w:rFonts w:ascii="Times New Roman" w:eastAsia="Calibri" w:hAnsi="Times New Roman" w:cs="Times New Roman"/>
          <w:color w:val="auto"/>
        </w:rPr>
        <w:t>, and portfolio</w:t>
      </w:r>
      <w:r>
        <w:rPr>
          <w:rFonts w:ascii="Times New Roman" w:eastAsia="Calibri" w:hAnsi="Times New Roman" w:cs="Times New Roman"/>
          <w:color w:val="auto"/>
        </w:rPr>
        <w:t>s of buildings</w:t>
      </w:r>
      <w:r w:rsidR="002707B6" w:rsidRPr="00E159EF">
        <w:rPr>
          <w:rFonts w:ascii="Times New Roman" w:eastAsia="Calibri" w:hAnsi="Times New Roman" w:cs="Times New Roman"/>
          <w:color w:val="auto"/>
        </w:rPr>
        <w:t xml:space="preserve">. The </w:t>
      </w:r>
      <w:r w:rsidR="004C0670">
        <w:rPr>
          <w:rFonts w:ascii="Times New Roman" w:eastAsia="Calibri" w:hAnsi="Times New Roman" w:cs="Times New Roman"/>
          <w:color w:val="auto"/>
        </w:rPr>
        <w:t>committee</w:t>
      </w:r>
      <w:r w:rsidR="002707B6" w:rsidRPr="00E159EF">
        <w:rPr>
          <w:rFonts w:ascii="Times New Roman" w:eastAsia="Calibri" w:hAnsi="Times New Roman" w:cs="Times New Roman"/>
          <w:color w:val="auto"/>
        </w:rPr>
        <w:t xml:space="preserve"> </w:t>
      </w:r>
      <w:r w:rsidR="00324DDF">
        <w:rPr>
          <w:rFonts w:ascii="Times New Roman" w:eastAsia="Calibri" w:hAnsi="Times New Roman" w:cs="Times New Roman"/>
          <w:color w:val="auto"/>
        </w:rPr>
        <w:t xml:space="preserve">recognizes </w:t>
      </w:r>
      <w:r w:rsidR="002707B6" w:rsidRPr="00E159EF">
        <w:rPr>
          <w:rFonts w:ascii="Times New Roman" w:eastAsia="Calibri" w:hAnsi="Times New Roman" w:cs="Times New Roman"/>
          <w:color w:val="auto"/>
        </w:rPr>
        <w:t xml:space="preserve">that each </w:t>
      </w:r>
      <w:r w:rsidR="00EE065C">
        <w:rPr>
          <w:rFonts w:ascii="Times New Roman" w:eastAsia="Calibri" w:hAnsi="Times New Roman" w:cs="Times New Roman"/>
          <w:color w:val="auto"/>
        </w:rPr>
        <w:t>federal</w:t>
      </w:r>
      <w:r w:rsidR="002707B6" w:rsidRPr="00E159EF">
        <w:rPr>
          <w:rFonts w:ascii="Times New Roman" w:eastAsia="Calibri" w:hAnsi="Times New Roman" w:cs="Times New Roman"/>
          <w:color w:val="auto"/>
        </w:rPr>
        <w:t xml:space="preserve"> agency </w:t>
      </w:r>
      <w:r w:rsidR="0046402B" w:rsidRPr="00E159EF">
        <w:rPr>
          <w:rFonts w:ascii="Times New Roman" w:eastAsia="Calibri" w:hAnsi="Times New Roman" w:cs="Times New Roman"/>
          <w:color w:val="auto"/>
        </w:rPr>
        <w:t xml:space="preserve">has different building turnover rates, growth rates, and </w:t>
      </w:r>
      <w:r w:rsidR="00324DDF">
        <w:rPr>
          <w:rFonts w:ascii="Times New Roman" w:eastAsia="Calibri" w:hAnsi="Times New Roman" w:cs="Times New Roman"/>
          <w:color w:val="auto"/>
        </w:rPr>
        <w:t>grouping strategies (individual buildings,</w:t>
      </w:r>
      <w:r w:rsidR="0046402B" w:rsidRPr="00E159EF">
        <w:rPr>
          <w:rFonts w:ascii="Times New Roman" w:eastAsia="Calibri" w:hAnsi="Times New Roman" w:cs="Times New Roman"/>
          <w:color w:val="auto"/>
        </w:rPr>
        <w:t xml:space="preserve"> campuses</w:t>
      </w:r>
      <w:r w:rsidR="00324DDF">
        <w:rPr>
          <w:rFonts w:ascii="Times New Roman" w:eastAsia="Calibri" w:hAnsi="Times New Roman" w:cs="Times New Roman"/>
          <w:color w:val="auto"/>
        </w:rPr>
        <w:t>,</w:t>
      </w:r>
      <w:r w:rsidR="0046402B" w:rsidRPr="00E159EF">
        <w:rPr>
          <w:rFonts w:ascii="Times New Roman" w:eastAsia="Calibri" w:hAnsi="Times New Roman" w:cs="Times New Roman"/>
          <w:color w:val="auto"/>
        </w:rPr>
        <w:t xml:space="preserve"> and portfolios</w:t>
      </w:r>
      <w:r w:rsidR="00324DDF">
        <w:rPr>
          <w:rFonts w:ascii="Times New Roman" w:eastAsia="Calibri" w:hAnsi="Times New Roman" w:cs="Times New Roman"/>
          <w:color w:val="auto"/>
        </w:rPr>
        <w:t>)</w:t>
      </w:r>
      <w:r w:rsidR="0046402B" w:rsidRPr="00E159EF">
        <w:rPr>
          <w:rFonts w:ascii="Times New Roman" w:eastAsia="Calibri" w:hAnsi="Times New Roman" w:cs="Times New Roman"/>
          <w:color w:val="auto"/>
        </w:rPr>
        <w:t>.</w:t>
      </w:r>
      <w:r w:rsidR="004C1A1B" w:rsidRPr="00E159EF">
        <w:rPr>
          <w:rFonts w:ascii="Times New Roman" w:eastAsia="Calibri" w:hAnsi="Times New Roman" w:cs="Times New Roman"/>
          <w:color w:val="auto"/>
        </w:rPr>
        <w:t xml:space="preserve"> </w:t>
      </w:r>
      <w:r w:rsidR="00324DDF">
        <w:rPr>
          <w:rFonts w:ascii="Times New Roman" w:eastAsia="Calibri" w:hAnsi="Times New Roman" w:cs="Times New Roman"/>
          <w:color w:val="auto"/>
        </w:rPr>
        <w:t>Thus</w:t>
      </w:r>
      <w:r w:rsidR="004C1A1B" w:rsidRPr="00E159EF">
        <w:rPr>
          <w:rFonts w:ascii="Times New Roman" w:eastAsia="Calibri" w:hAnsi="Times New Roman" w:cs="Times New Roman"/>
          <w:color w:val="auto"/>
        </w:rPr>
        <w:t xml:space="preserve">, </w:t>
      </w:r>
      <w:r w:rsidR="00324DDF">
        <w:rPr>
          <w:rFonts w:ascii="Times New Roman" w:eastAsia="Calibri" w:hAnsi="Times New Roman" w:cs="Times New Roman"/>
          <w:color w:val="auto"/>
        </w:rPr>
        <w:t xml:space="preserve">verifying of 50% of </w:t>
      </w:r>
      <w:r w:rsidR="00EB4387">
        <w:rPr>
          <w:rFonts w:ascii="Times New Roman" w:eastAsia="Calibri" w:hAnsi="Times New Roman" w:cs="Times New Roman"/>
          <w:color w:val="auto"/>
        </w:rPr>
        <w:t xml:space="preserve">federal </w:t>
      </w:r>
      <w:r w:rsidR="00324DDF">
        <w:rPr>
          <w:rFonts w:ascii="Times New Roman" w:eastAsia="Calibri" w:hAnsi="Times New Roman" w:cs="Times New Roman"/>
          <w:color w:val="auto"/>
        </w:rPr>
        <w:t>building area as NZE by 2030 can be achieved using any combination of individual NZEBs, NZE campuses, and NZE portfolios.</w:t>
      </w:r>
    </w:p>
    <w:p w:rsidR="00EC3A49" w:rsidRPr="007B2737" w:rsidRDefault="00043640" w:rsidP="00EB4387">
      <w:pPr>
        <w:pStyle w:val="Heading2"/>
        <w:spacing w:before="160" w:after="40"/>
        <w:contextualSpacing w:val="0"/>
        <w:rPr>
          <w:rFonts w:ascii="Times New Roman" w:eastAsia="Calibri" w:hAnsi="Times New Roman" w:cs="Times New Roman"/>
          <w:i/>
          <w:color w:val="auto"/>
          <w:sz w:val="24"/>
        </w:rPr>
      </w:pPr>
      <w:r>
        <w:rPr>
          <w:rFonts w:ascii="Times New Roman" w:eastAsia="Calibri" w:hAnsi="Times New Roman" w:cs="Times New Roman"/>
          <w:i/>
          <w:color w:val="auto"/>
          <w:sz w:val="24"/>
        </w:rPr>
        <w:t xml:space="preserve">Section 3a: </w:t>
      </w:r>
      <w:r w:rsidR="004E75D1" w:rsidRPr="007B2737">
        <w:rPr>
          <w:rFonts w:ascii="Times New Roman" w:eastAsia="Calibri" w:hAnsi="Times New Roman" w:cs="Times New Roman"/>
          <w:i/>
          <w:color w:val="auto"/>
          <w:sz w:val="24"/>
        </w:rPr>
        <w:t>Recommended Policy for the Federal Government</w:t>
      </w:r>
    </w:p>
    <w:p w:rsidR="004E75D1" w:rsidRPr="007A4F4F" w:rsidRDefault="004E75D1" w:rsidP="00EB4387">
      <w:pPr>
        <w:pStyle w:val="Heading2"/>
        <w:spacing w:before="120" w:after="80"/>
        <w:contextualSpacing w:val="0"/>
        <w:rPr>
          <w:rFonts w:ascii="Times New Roman" w:eastAsia="Calibri" w:hAnsi="Times New Roman" w:cs="Times New Roman"/>
          <w:b w:val="0"/>
          <w:color w:val="auto"/>
          <w:sz w:val="22"/>
          <w:szCs w:val="22"/>
        </w:rPr>
      </w:pPr>
      <w:r w:rsidRPr="00D856C4">
        <w:rPr>
          <w:rFonts w:ascii="Times New Roman" w:eastAsia="Calibri" w:hAnsi="Times New Roman" w:cs="Times New Roman"/>
          <w:b w:val="0"/>
          <w:color w:val="auto"/>
          <w:sz w:val="22"/>
          <w:szCs w:val="22"/>
        </w:rPr>
        <w:t xml:space="preserve">The </w:t>
      </w:r>
      <w:r w:rsidR="004C0670">
        <w:rPr>
          <w:rFonts w:ascii="Times New Roman" w:eastAsia="Calibri" w:hAnsi="Times New Roman" w:cs="Times New Roman"/>
          <w:b w:val="0"/>
          <w:color w:val="auto"/>
          <w:sz w:val="22"/>
          <w:szCs w:val="22"/>
        </w:rPr>
        <w:t>Green Building Advisory Committee</w:t>
      </w:r>
      <w:r w:rsidRPr="007A4F4F">
        <w:rPr>
          <w:rFonts w:ascii="Times New Roman" w:eastAsia="Calibri" w:hAnsi="Times New Roman" w:cs="Times New Roman"/>
          <w:b w:val="0"/>
          <w:color w:val="auto"/>
          <w:sz w:val="22"/>
          <w:szCs w:val="22"/>
        </w:rPr>
        <w:t xml:space="preserve"> recommends the following policies </w:t>
      </w:r>
      <w:r w:rsidR="00A20B37">
        <w:rPr>
          <w:rFonts w:ascii="Times New Roman" w:eastAsia="Calibri" w:hAnsi="Times New Roman" w:cs="Times New Roman"/>
          <w:b w:val="0"/>
          <w:color w:val="auto"/>
          <w:sz w:val="22"/>
          <w:szCs w:val="22"/>
        </w:rPr>
        <w:t>to</w:t>
      </w:r>
      <w:r w:rsidRPr="007A4F4F">
        <w:rPr>
          <w:rFonts w:ascii="Times New Roman" w:eastAsia="Calibri" w:hAnsi="Times New Roman" w:cs="Times New Roman"/>
          <w:b w:val="0"/>
          <w:color w:val="auto"/>
          <w:sz w:val="22"/>
          <w:szCs w:val="22"/>
        </w:rPr>
        <w:t xml:space="preserve"> the </w:t>
      </w:r>
      <w:r w:rsidR="004C0670">
        <w:rPr>
          <w:rFonts w:ascii="Times New Roman" w:eastAsia="Calibri" w:hAnsi="Times New Roman" w:cs="Times New Roman"/>
          <w:b w:val="0"/>
          <w:color w:val="auto"/>
          <w:sz w:val="22"/>
          <w:szCs w:val="22"/>
        </w:rPr>
        <w:t>GSA</w:t>
      </w:r>
      <w:r w:rsidRPr="007A4F4F">
        <w:rPr>
          <w:rFonts w:ascii="Times New Roman" w:eastAsia="Calibri" w:hAnsi="Times New Roman" w:cs="Times New Roman"/>
          <w:b w:val="0"/>
          <w:color w:val="auto"/>
          <w:sz w:val="22"/>
          <w:szCs w:val="22"/>
        </w:rPr>
        <w:t>:</w:t>
      </w:r>
    </w:p>
    <w:p w:rsidR="00392AC4" w:rsidRPr="00D856C4" w:rsidRDefault="00392AC4" w:rsidP="00392AC4">
      <w:pPr>
        <w:pStyle w:val="Normal10"/>
        <w:numPr>
          <w:ilvl w:val="0"/>
          <w:numId w:val="12"/>
        </w:numPr>
        <w:spacing w:after="120"/>
        <w:ind w:hanging="360"/>
        <w:contextualSpacing/>
        <w:rPr>
          <w:rFonts w:ascii="Times New Roman" w:eastAsia="Calibri" w:hAnsi="Times New Roman" w:cs="Times New Roman"/>
          <w:color w:val="auto"/>
        </w:rPr>
      </w:pPr>
      <w:r w:rsidRPr="00C315D5">
        <w:rPr>
          <w:rFonts w:ascii="Times New Roman" w:eastAsia="Calibri" w:hAnsi="Times New Roman" w:cs="Times New Roman"/>
          <w:color w:val="auto"/>
        </w:rPr>
        <w:t xml:space="preserve">By </w:t>
      </w:r>
      <w:r w:rsidRPr="00DB38C6">
        <w:rPr>
          <w:rFonts w:ascii="Times New Roman" w:eastAsia="Calibri" w:hAnsi="Times New Roman" w:cs="Times New Roman"/>
          <w:b/>
          <w:i/>
          <w:color w:val="auto"/>
        </w:rPr>
        <w:t>2020</w:t>
      </w:r>
      <w:r w:rsidRPr="007B2737">
        <w:rPr>
          <w:rFonts w:ascii="Times New Roman" w:eastAsia="Calibri" w:hAnsi="Times New Roman" w:cs="Times New Roman"/>
          <w:color w:val="auto"/>
        </w:rPr>
        <w:t xml:space="preserve">, the federal government should </w:t>
      </w:r>
      <w:r w:rsidRPr="007B2737">
        <w:rPr>
          <w:rFonts w:ascii="Times New Roman" w:eastAsia="Calibri" w:hAnsi="Times New Roman" w:cs="Times New Roman"/>
          <w:b/>
          <w:i/>
          <w:color w:val="auto"/>
        </w:rPr>
        <w:t>verify at least 1% of their total building area to be NZE.</w:t>
      </w:r>
      <w:r w:rsidRPr="007B2737">
        <w:rPr>
          <w:rFonts w:ascii="Times New Roman" w:eastAsia="Calibri" w:hAnsi="Times New Roman" w:cs="Times New Roman"/>
          <w:color w:val="auto"/>
        </w:rPr>
        <w:t xml:space="preserve">  All federal agencies should start planning for developing NZE retrofits in 2017.</w:t>
      </w:r>
    </w:p>
    <w:p w:rsidR="00392AC4" w:rsidRPr="007B2737" w:rsidRDefault="00392AC4" w:rsidP="00392AC4">
      <w:pPr>
        <w:pStyle w:val="Normal10"/>
        <w:numPr>
          <w:ilvl w:val="0"/>
          <w:numId w:val="12"/>
        </w:numPr>
        <w:spacing w:after="120"/>
        <w:ind w:hanging="360"/>
        <w:contextualSpacing/>
        <w:rPr>
          <w:rFonts w:ascii="Times New Roman" w:eastAsia="Calibri" w:hAnsi="Times New Roman" w:cs="Times New Roman"/>
          <w:color w:val="auto"/>
        </w:rPr>
      </w:pPr>
      <w:r w:rsidRPr="007A4F4F">
        <w:rPr>
          <w:rFonts w:ascii="Times New Roman" w:eastAsia="Calibri" w:hAnsi="Times New Roman" w:cs="Times New Roman"/>
          <w:color w:val="auto"/>
        </w:rPr>
        <w:t xml:space="preserve">By </w:t>
      </w:r>
      <w:r w:rsidRPr="00C315D5">
        <w:rPr>
          <w:rFonts w:ascii="Times New Roman" w:eastAsia="Calibri" w:hAnsi="Times New Roman" w:cs="Times New Roman"/>
          <w:b/>
          <w:i/>
          <w:color w:val="auto"/>
        </w:rPr>
        <w:t>2</w:t>
      </w:r>
      <w:r w:rsidRPr="00DB38C6">
        <w:rPr>
          <w:rFonts w:ascii="Times New Roman" w:eastAsia="Calibri" w:hAnsi="Times New Roman" w:cs="Times New Roman"/>
          <w:b/>
          <w:i/>
          <w:color w:val="auto"/>
        </w:rPr>
        <w:t>025</w:t>
      </w:r>
      <w:r w:rsidRPr="007B2737">
        <w:rPr>
          <w:rFonts w:ascii="Times New Roman" w:eastAsia="Calibri" w:hAnsi="Times New Roman" w:cs="Times New Roman"/>
          <w:color w:val="auto"/>
        </w:rPr>
        <w:t xml:space="preserve">, the federal government should </w:t>
      </w:r>
      <w:r w:rsidRPr="007B2737">
        <w:rPr>
          <w:rFonts w:ascii="Times New Roman" w:eastAsia="Calibri" w:hAnsi="Times New Roman" w:cs="Times New Roman"/>
          <w:b/>
          <w:i/>
          <w:color w:val="auto"/>
        </w:rPr>
        <w:t>verify at least 10% of their total building area to be NZE</w:t>
      </w:r>
      <w:r w:rsidRPr="007B2737">
        <w:rPr>
          <w:rFonts w:ascii="Times New Roman" w:eastAsia="Calibri" w:hAnsi="Times New Roman" w:cs="Times New Roman"/>
          <w:color w:val="auto"/>
        </w:rPr>
        <w:t xml:space="preserve"> AND each federal agency should </w:t>
      </w:r>
      <w:r w:rsidRPr="007B2737">
        <w:rPr>
          <w:rFonts w:ascii="Times New Roman" w:eastAsia="Calibri" w:hAnsi="Times New Roman" w:cs="Times New Roman"/>
          <w:b/>
          <w:i/>
          <w:color w:val="auto"/>
        </w:rPr>
        <w:t>verify at least 1 building to be NZE.</w:t>
      </w:r>
      <w:r w:rsidR="00043640" w:rsidRPr="007B2737">
        <w:rPr>
          <w:rFonts w:ascii="Times New Roman" w:eastAsia="Calibri" w:hAnsi="Times New Roman" w:cs="Times New Roman"/>
          <w:b/>
          <w:i/>
          <w:color w:val="auto"/>
        </w:rPr>
        <w:t xml:space="preserve"> </w:t>
      </w:r>
      <w:r w:rsidR="00043640" w:rsidRPr="007B2737">
        <w:rPr>
          <w:rFonts w:ascii="Times New Roman" w:eastAsia="Calibri" w:hAnsi="Times New Roman" w:cs="Times New Roman"/>
          <w:color w:val="auto"/>
        </w:rPr>
        <w:t>All federal agencies should continue planning additional NZE projects.</w:t>
      </w:r>
    </w:p>
    <w:p w:rsidR="004E75D1" w:rsidRPr="007B2737" w:rsidRDefault="00392AC4" w:rsidP="00EB4387">
      <w:pPr>
        <w:pStyle w:val="Normal10"/>
        <w:numPr>
          <w:ilvl w:val="0"/>
          <w:numId w:val="12"/>
        </w:numPr>
        <w:spacing w:after="120"/>
        <w:ind w:hanging="360"/>
        <w:contextualSpacing/>
        <w:rPr>
          <w:rFonts w:ascii="Times New Roman" w:hAnsi="Times New Roman"/>
        </w:rPr>
      </w:pPr>
      <w:r w:rsidRPr="007B2737">
        <w:rPr>
          <w:rFonts w:ascii="Times New Roman" w:eastAsia="Calibri" w:hAnsi="Times New Roman" w:cs="Times New Roman"/>
          <w:color w:val="auto"/>
        </w:rPr>
        <w:t xml:space="preserve">By </w:t>
      </w:r>
      <w:r w:rsidRPr="007B2737">
        <w:rPr>
          <w:rFonts w:ascii="Times New Roman" w:eastAsia="Calibri" w:hAnsi="Times New Roman" w:cs="Times New Roman"/>
          <w:b/>
          <w:i/>
          <w:color w:val="auto"/>
        </w:rPr>
        <w:t>2030</w:t>
      </w:r>
      <w:r w:rsidRPr="007B2737">
        <w:rPr>
          <w:rFonts w:ascii="Times New Roman" w:eastAsia="Calibri" w:hAnsi="Times New Roman" w:cs="Times New Roman"/>
          <w:color w:val="auto"/>
        </w:rPr>
        <w:t xml:space="preserve">, the federal government should </w:t>
      </w:r>
      <w:r w:rsidRPr="007B2737">
        <w:rPr>
          <w:rFonts w:ascii="Times New Roman" w:eastAsia="Calibri" w:hAnsi="Times New Roman" w:cs="Times New Roman"/>
          <w:b/>
          <w:i/>
          <w:color w:val="auto"/>
        </w:rPr>
        <w:t>verify at least 50% of their total building area to be NZE</w:t>
      </w:r>
      <w:r w:rsidR="00043640" w:rsidRPr="007B2737">
        <w:rPr>
          <w:rFonts w:ascii="Times New Roman" w:eastAsia="Calibri" w:hAnsi="Times New Roman" w:cs="Times New Roman"/>
          <w:b/>
          <w:i/>
          <w:color w:val="auto"/>
        </w:rPr>
        <w:t xml:space="preserve"> </w:t>
      </w:r>
      <w:r w:rsidRPr="007B2737">
        <w:rPr>
          <w:rFonts w:ascii="Times New Roman" w:eastAsia="Calibri" w:hAnsi="Times New Roman" w:cs="Times New Roman"/>
          <w:color w:val="auto"/>
        </w:rPr>
        <w:t xml:space="preserve">AND each federal agency should </w:t>
      </w:r>
      <w:r w:rsidRPr="007B2737">
        <w:rPr>
          <w:rFonts w:ascii="Times New Roman" w:eastAsia="Calibri" w:hAnsi="Times New Roman" w:cs="Times New Roman"/>
          <w:b/>
          <w:i/>
          <w:color w:val="auto"/>
        </w:rPr>
        <w:t>verify at least 25% of their building area to be NZE.</w:t>
      </w:r>
      <w:r w:rsidR="00043640" w:rsidRPr="007B2737">
        <w:rPr>
          <w:rFonts w:ascii="Times New Roman" w:eastAsia="Calibri" w:hAnsi="Times New Roman" w:cs="Times New Roman"/>
          <w:b/>
          <w:i/>
          <w:color w:val="auto"/>
        </w:rPr>
        <w:t xml:space="preserve"> </w:t>
      </w:r>
      <w:r w:rsidR="00043640" w:rsidRPr="007B2737">
        <w:rPr>
          <w:rFonts w:ascii="Times New Roman" w:eastAsia="Calibri" w:hAnsi="Times New Roman" w:cs="Times New Roman"/>
          <w:color w:val="auto"/>
        </w:rPr>
        <w:t>All federal agencies should continue planning additional NZE projects.</w:t>
      </w:r>
    </w:p>
    <w:p w:rsidR="004E75D1" w:rsidRPr="007B2737" w:rsidRDefault="00043640" w:rsidP="00EB4387">
      <w:pPr>
        <w:pStyle w:val="Heading2"/>
        <w:spacing w:before="160" w:after="40"/>
        <w:contextualSpacing w:val="0"/>
        <w:rPr>
          <w:rFonts w:ascii="Times New Roman" w:eastAsia="Calibri" w:hAnsi="Times New Roman" w:cs="Times New Roman"/>
          <w:i/>
          <w:color w:val="auto"/>
          <w:sz w:val="24"/>
        </w:rPr>
      </w:pPr>
      <w:r w:rsidRPr="00D856C4">
        <w:rPr>
          <w:rFonts w:ascii="Times New Roman" w:eastAsia="Calibri" w:hAnsi="Times New Roman" w:cs="Times New Roman"/>
          <w:i/>
          <w:color w:val="auto"/>
          <w:sz w:val="24"/>
        </w:rPr>
        <w:lastRenderedPageBreak/>
        <w:t>Section 3b:</w:t>
      </w:r>
      <w:r w:rsidRPr="007A4F4F">
        <w:rPr>
          <w:rFonts w:ascii="Times New Roman" w:eastAsia="Calibri" w:hAnsi="Times New Roman" w:cs="Times New Roman"/>
          <w:i/>
          <w:color w:val="auto"/>
          <w:sz w:val="24"/>
        </w:rPr>
        <w:t xml:space="preserve"> </w:t>
      </w:r>
      <w:r w:rsidR="004E75D1" w:rsidRPr="007B2737">
        <w:rPr>
          <w:rFonts w:ascii="Times New Roman" w:eastAsia="Calibri" w:hAnsi="Times New Roman" w:cs="Times New Roman"/>
          <w:i/>
          <w:color w:val="auto"/>
          <w:sz w:val="24"/>
        </w:rPr>
        <w:t>Recommended Policy for the GSA</w:t>
      </w:r>
    </w:p>
    <w:p w:rsidR="004C0670" w:rsidRPr="007A4F4F" w:rsidRDefault="004C0670" w:rsidP="004C0670">
      <w:pPr>
        <w:pStyle w:val="Heading2"/>
        <w:spacing w:before="120" w:after="80"/>
        <w:contextualSpacing w:val="0"/>
        <w:rPr>
          <w:rFonts w:ascii="Times New Roman" w:eastAsia="Calibri" w:hAnsi="Times New Roman" w:cs="Times New Roman"/>
          <w:b w:val="0"/>
          <w:color w:val="auto"/>
          <w:sz w:val="22"/>
          <w:szCs w:val="22"/>
        </w:rPr>
      </w:pPr>
      <w:r w:rsidRPr="00D856C4">
        <w:rPr>
          <w:rFonts w:ascii="Times New Roman" w:eastAsia="Calibri" w:hAnsi="Times New Roman" w:cs="Times New Roman"/>
          <w:b w:val="0"/>
          <w:color w:val="auto"/>
          <w:sz w:val="22"/>
          <w:szCs w:val="22"/>
        </w:rPr>
        <w:t xml:space="preserve">The </w:t>
      </w:r>
      <w:r>
        <w:rPr>
          <w:rFonts w:ascii="Times New Roman" w:eastAsia="Calibri" w:hAnsi="Times New Roman" w:cs="Times New Roman"/>
          <w:b w:val="0"/>
          <w:color w:val="auto"/>
          <w:sz w:val="22"/>
          <w:szCs w:val="22"/>
        </w:rPr>
        <w:t>Green Building Advisory Committee</w:t>
      </w:r>
      <w:r w:rsidRPr="007A4F4F">
        <w:rPr>
          <w:rFonts w:ascii="Times New Roman" w:eastAsia="Calibri" w:hAnsi="Times New Roman" w:cs="Times New Roman"/>
          <w:b w:val="0"/>
          <w:color w:val="auto"/>
          <w:sz w:val="22"/>
          <w:szCs w:val="22"/>
        </w:rPr>
        <w:t xml:space="preserve"> recommends the following policie</w:t>
      </w:r>
      <w:r w:rsidRPr="00A20B37">
        <w:rPr>
          <w:rFonts w:ascii="Times New Roman" w:eastAsia="Calibri" w:hAnsi="Times New Roman" w:cs="Times New Roman"/>
          <w:b w:val="0"/>
          <w:color w:val="auto"/>
          <w:sz w:val="22"/>
          <w:szCs w:val="22"/>
        </w:rPr>
        <w:t xml:space="preserve">s </w:t>
      </w:r>
      <w:r w:rsidR="00A20B37" w:rsidRPr="006C7559">
        <w:rPr>
          <w:rFonts w:ascii="Times New Roman" w:eastAsia="Calibri" w:hAnsi="Times New Roman" w:cs="Times New Roman"/>
          <w:b w:val="0"/>
          <w:color w:val="auto"/>
          <w:sz w:val="22"/>
          <w:szCs w:val="22"/>
        </w:rPr>
        <w:t>to</w:t>
      </w:r>
      <w:r w:rsidRPr="00A20B37">
        <w:rPr>
          <w:rFonts w:ascii="Times New Roman" w:eastAsia="Calibri" w:hAnsi="Times New Roman" w:cs="Times New Roman"/>
          <w:b w:val="0"/>
          <w:color w:val="auto"/>
          <w:sz w:val="22"/>
          <w:szCs w:val="22"/>
        </w:rPr>
        <w:t xml:space="preserve"> the GSA:</w:t>
      </w:r>
    </w:p>
    <w:p w:rsidR="006E04E0" w:rsidRPr="00E159EF" w:rsidRDefault="006E04E0" w:rsidP="007B2737">
      <w:pPr>
        <w:pStyle w:val="Normal10"/>
        <w:numPr>
          <w:ilvl w:val="0"/>
          <w:numId w:val="13"/>
        </w:numPr>
        <w:spacing w:after="120"/>
        <w:ind w:hanging="360"/>
        <w:contextualSpacing/>
        <w:rPr>
          <w:rFonts w:ascii="Times New Roman" w:eastAsia="Calibri" w:hAnsi="Times New Roman" w:cs="Times New Roman"/>
          <w:color w:val="auto"/>
        </w:rPr>
      </w:pPr>
      <w:r w:rsidRPr="00DB38C6">
        <w:rPr>
          <w:rFonts w:ascii="Times New Roman" w:eastAsia="Calibri" w:hAnsi="Times New Roman" w:cs="Times New Roman"/>
          <w:color w:val="auto"/>
        </w:rPr>
        <w:t xml:space="preserve">By </w:t>
      </w:r>
      <w:r w:rsidRPr="007B2737">
        <w:rPr>
          <w:rFonts w:ascii="Times New Roman" w:eastAsia="Calibri" w:hAnsi="Times New Roman" w:cs="Times New Roman"/>
          <w:b/>
          <w:i/>
          <w:color w:val="auto"/>
        </w:rPr>
        <w:t>2020</w:t>
      </w:r>
      <w:r w:rsidRPr="007B2737">
        <w:rPr>
          <w:rFonts w:ascii="Times New Roman" w:eastAsia="Calibri" w:hAnsi="Times New Roman" w:cs="Times New Roman"/>
          <w:color w:val="auto"/>
        </w:rPr>
        <w:t xml:space="preserve">, each </w:t>
      </w:r>
      <w:r w:rsidR="00392AC4" w:rsidRPr="007B2737">
        <w:rPr>
          <w:rFonts w:ascii="Times New Roman" w:eastAsia="Calibri" w:hAnsi="Times New Roman" w:cs="Times New Roman"/>
          <w:color w:val="auto"/>
        </w:rPr>
        <w:t xml:space="preserve">GSA </w:t>
      </w:r>
      <w:r w:rsidRPr="007B2737">
        <w:rPr>
          <w:rFonts w:ascii="Times New Roman" w:eastAsia="Calibri" w:hAnsi="Times New Roman" w:cs="Times New Roman"/>
          <w:color w:val="auto"/>
        </w:rPr>
        <w:t xml:space="preserve">regional operating division should </w:t>
      </w:r>
      <w:r w:rsidRPr="007B2737">
        <w:rPr>
          <w:rFonts w:ascii="Times New Roman" w:eastAsia="Calibri" w:hAnsi="Times New Roman" w:cs="Times New Roman"/>
          <w:b/>
          <w:i/>
          <w:color w:val="auto"/>
        </w:rPr>
        <w:t>verify at least 1% of their building area to be NZE</w:t>
      </w:r>
      <w:r w:rsidRPr="00CC5945">
        <w:rPr>
          <w:rFonts w:ascii="Times New Roman" w:eastAsia="Calibri" w:hAnsi="Times New Roman" w:cs="Times New Roman"/>
          <w:b/>
          <w:i/>
          <w:color w:val="auto"/>
        </w:rPr>
        <w:t xml:space="preserve"> (a minimum of one building).</w:t>
      </w:r>
      <w:r w:rsidRPr="00E159EF">
        <w:rPr>
          <w:rFonts w:ascii="Times New Roman" w:eastAsia="Calibri" w:hAnsi="Times New Roman" w:cs="Times New Roman"/>
          <w:color w:val="auto"/>
        </w:rPr>
        <w:t xml:space="preserve">  GSA</w:t>
      </w:r>
      <w:r w:rsidR="00CC5945">
        <w:rPr>
          <w:rFonts w:ascii="Times New Roman" w:eastAsia="Calibri" w:hAnsi="Times New Roman" w:cs="Times New Roman"/>
          <w:color w:val="auto"/>
        </w:rPr>
        <w:t xml:space="preserve"> </w:t>
      </w:r>
      <w:r w:rsidRPr="00E159EF">
        <w:rPr>
          <w:rFonts w:ascii="Times New Roman" w:eastAsia="Calibri" w:hAnsi="Times New Roman" w:cs="Times New Roman"/>
          <w:color w:val="auto"/>
        </w:rPr>
        <w:t>should start planning for de</w:t>
      </w:r>
      <w:r w:rsidR="00CC5945">
        <w:rPr>
          <w:rFonts w:ascii="Times New Roman" w:eastAsia="Calibri" w:hAnsi="Times New Roman" w:cs="Times New Roman"/>
          <w:color w:val="auto"/>
        </w:rPr>
        <w:t xml:space="preserve">veloping NZE retrofits </w:t>
      </w:r>
      <w:r w:rsidR="00077834">
        <w:rPr>
          <w:rFonts w:ascii="Times New Roman" w:eastAsia="Calibri" w:hAnsi="Times New Roman" w:cs="Times New Roman"/>
          <w:color w:val="auto"/>
        </w:rPr>
        <w:t>in</w:t>
      </w:r>
      <w:r w:rsidR="00CC5945">
        <w:rPr>
          <w:rFonts w:ascii="Times New Roman" w:eastAsia="Calibri" w:hAnsi="Times New Roman" w:cs="Times New Roman"/>
          <w:color w:val="auto"/>
        </w:rPr>
        <w:t xml:space="preserve"> 2017.</w:t>
      </w:r>
    </w:p>
    <w:p w:rsidR="006E04E0" w:rsidRPr="00E159EF" w:rsidRDefault="006E04E0" w:rsidP="007B2737">
      <w:pPr>
        <w:pStyle w:val="Normal10"/>
        <w:numPr>
          <w:ilvl w:val="0"/>
          <w:numId w:val="13"/>
        </w:numPr>
        <w:spacing w:after="120"/>
        <w:ind w:hanging="360"/>
        <w:contextualSpacing/>
        <w:rPr>
          <w:rFonts w:ascii="Times New Roman" w:eastAsia="Calibri" w:hAnsi="Times New Roman" w:cs="Times New Roman"/>
          <w:color w:val="auto"/>
        </w:rPr>
      </w:pPr>
      <w:r w:rsidRPr="00E159EF">
        <w:rPr>
          <w:rFonts w:ascii="Times New Roman" w:eastAsia="Calibri" w:hAnsi="Times New Roman" w:cs="Times New Roman"/>
          <w:color w:val="auto"/>
        </w:rPr>
        <w:t xml:space="preserve">By </w:t>
      </w:r>
      <w:r w:rsidRPr="00CC5945">
        <w:rPr>
          <w:rFonts w:ascii="Times New Roman" w:eastAsia="Calibri" w:hAnsi="Times New Roman" w:cs="Times New Roman"/>
          <w:b/>
          <w:i/>
          <w:color w:val="auto"/>
        </w:rPr>
        <w:t>2025</w:t>
      </w:r>
      <w:r w:rsidRPr="00E159EF">
        <w:rPr>
          <w:rFonts w:ascii="Times New Roman" w:eastAsia="Calibri" w:hAnsi="Times New Roman" w:cs="Times New Roman"/>
          <w:color w:val="auto"/>
        </w:rPr>
        <w:t xml:space="preserve">, each </w:t>
      </w:r>
      <w:r w:rsidR="00392AC4">
        <w:rPr>
          <w:rFonts w:ascii="Times New Roman" w:eastAsia="Calibri" w:hAnsi="Times New Roman" w:cs="Times New Roman"/>
          <w:color w:val="auto"/>
        </w:rPr>
        <w:t xml:space="preserve">GSA </w:t>
      </w:r>
      <w:r w:rsidRPr="00E159EF">
        <w:rPr>
          <w:rFonts w:ascii="Times New Roman" w:eastAsia="Calibri" w:hAnsi="Times New Roman" w:cs="Times New Roman"/>
          <w:color w:val="auto"/>
        </w:rPr>
        <w:t xml:space="preserve">regional operating division should </w:t>
      </w:r>
      <w:r w:rsidRPr="00CC5945">
        <w:rPr>
          <w:rFonts w:ascii="Times New Roman" w:eastAsia="Calibri" w:hAnsi="Times New Roman" w:cs="Times New Roman"/>
          <w:b/>
          <w:i/>
          <w:color w:val="auto"/>
        </w:rPr>
        <w:t>verify at least 10% of their building area to be NZE,</w:t>
      </w:r>
      <w:r w:rsidRPr="00E159EF">
        <w:rPr>
          <w:rFonts w:ascii="Times New Roman" w:eastAsia="Calibri" w:hAnsi="Times New Roman" w:cs="Times New Roman"/>
          <w:color w:val="auto"/>
        </w:rPr>
        <w:t xml:space="preserve"> and should continue planning additional NZE projects. </w:t>
      </w:r>
    </w:p>
    <w:p w:rsidR="006E04E0" w:rsidRPr="00E159EF" w:rsidRDefault="006E04E0" w:rsidP="007B2737">
      <w:pPr>
        <w:pStyle w:val="Normal10"/>
        <w:numPr>
          <w:ilvl w:val="0"/>
          <w:numId w:val="13"/>
        </w:numPr>
        <w:spacing w:after="120"/>
        <w:ind w:hanging="360"/>
        <w:contextualSpacing/>
        <w:rPr>
          <w:rFonts w:ascii="Times New Roman" w:eastAsia="Calibri" w:hAnsi="Times New Roman" w:cs="Times New Roman"/>
          <w:color w:val="auto"/>
        </w:rPr>
      </w:pPr>
      <w:r w:rsidRPr="00E159EF">
        <w:rPr>
          <w:rFonts w:ascii="Times New Roman" w:eastAsia="Calibri" w:hAnsi="Times New Roman" w:cs="Times New Roman"/>
          <w:color w:val="auto"/>
        </w:rPr>
        <w:t xml:space="preserve">By </w:t>
      </w:r>
      <w:r w:rsidRPr="00CC5945">
        <w:rPr>
          <w:rFonts w:ascii="Times New Roman" w:eastAsia="Calibri" w:hAnsi="Times New Roman" w:cs="Times New Roman"/>
          <w:b/>
          <w:i/>
          <w:color w:val="auto"/>
        </w:rPr>
        <w:t>2030</w:t>
      </w:r>
      <w:r w:rsidRPr="00E159EF">
        <w:rPr>
          <w:rFonts w:ascii="Times New Roman" w:eastAsia="Calibri" w:hAnsi="Times New Roman" w:cs="Times New Roman"/>
          <w:color w:val="auto"/>
        </w:rPr>
        <w:t xml:space="preserve">, each </w:t>
      </w:r>
      <w:r w:rsidR="00392AC4">
        <w:rPr>
          <w:rFonts w:ascii="Times New Roman" w:eastAsia="Calibri" w:hAnsi="Times New Roman" w:cs="Times New Roman"/>
          <w:color w:val="auto"/>
        </w:rPr>
        <w:t xml:space="preserve">GSA </w:t>
      </w:r>
      <w:r w:rsidRPr="00E159EF">
        <w:rPr>
          <w:rFonts w:ascii="Times New Roman" w:eastAsia="Calibri" w:hAnsi="Times New Roman" w:cs="Times New Roman"/>
          <w:color w:val="auto"/>
        </w:rPr>
        <w:t xml:space="preserve">regional operating division should </w:t>
      </w:r>
      <w:r w:rsidRPr="00CC5945">
        <w:rPr>
          <w:rFonts w:ascii="Times New Roman" w:eastAsia="Calibri" w:hAnsi="Times New Roman" w:cs="Times New Roman"/>
          <w:b/>
          <w:i/>
          <w:color w:val="auto"/>
        </w:rPr>
        <w:t>verify at least 50% of their building area to be NZE,</w:t>
      </w:r>
      <w:r w:rsidRPr="00E159EF">
        <w:rPr>
          <w:rFonts w:ascii="Times New Roman" w:eastAsia="Calibri" w:hAnsi="Times New Roman" w:cs="Times New Roman"/>
          <w:color w:val="auto"/>
        </w:rPr>
        <w:t xml:space="preserve"> and should continue planning additional NZE projects.</w:t>
      </w:r>
    </w:p>
    <w:p w:rsidR="00324DDF" w:rsidRPr="00E159EF" w:rsidRDefault="00324DDF" w:rsidP="00324DDF">
      <w:pPr>
        <w:pStyle w:val="Normal1"/>
        <w:spacing w:after="120"/>
        <w:rPr>
          <w:rFonts w:ascii="Times New Roman" w:eastAsia="Calibri" w:hAnsi="Times New Roman" w:cs="Times New Roman"/>
          <w:i/>
          <w:color w:val="auto"/>
          <w:sz w:val="20"/>
        </w:rPr>
      </w:pPr>
      <w:r>
        <w:rPr>
          <w:rFonts w:ascii="Times New Roman" w:eastAsia="Calibri" w:hAnsi="Times New Roman" w:cs="Times New Roman"/>
          <w:i/>
          <w:color w:val="auto"/>
          <w:sz w:val="20"/>
        </w:rPr>
        <w:t xml:space="preserve">NOTE: </w:t>
      </w:r>
      <w:r w:rsidRPr="00E159EF">
        <w:rPr>
          <w:rFonts w:ascii="Times New Roman" w:eastAsia="Calibri" w:hAnsi="Times New Roman" w:cs="Times New Roman"/>
          <w:i/>
          <w:color w:val="auto"/>
          <w:sz w:val="20"/>
        </w:rPr>
        <w:t xml:space="preserve">Funding for these upgrades should be available both from capital upgrades and from maintenance, repair and renewal sources. Alternative funding options are available, and several of them are outlined in Section 4. EISA 2007 requires that all leased buildings must have an earned ENERGY STAR label (with specific limited exemptions). </w:t>
      </w:r>
    </w:p>
    <w:p w:rsidR="003C7BD2" w:rsidRPr="007B2737" w:rsidRDefault="00043640" w:rsidP="00EB4387">
      <w:pPr>
        <w:pStyle w:val="Heading2"/>
        <w:spacing w:before="160" w:after="40"/>
        <w:contextualSpacing w:val="0"/>
        <w:rPr>
          <w:rFonts w:ascii="Times New Roman" w:eastAsia="Calibri" w:hAnsi="Times New Roman" w:cs="Times New Roman"/>
          <w:i/>
          <w:color w:val="auto"/>
          <w:sz w:val="24"/>
        </w:rPr>
      </w:pPr>
      <w:r>
        <w:rPr>
          <w:rFonts w:ascii="Times New Roman" w:eastAsia="Calibri" w:hAnsi="Times New Roman" w:cs="Times New Roman"/>
          <w:i/>
          <w:color w:val="auto"/>
          <w:sz w:val="24"/>
        </w:rPr>
        <w:t>Section 3c:</w:t>
      </w:r>
      <w:r w:rsidRPr="00043640">
        <w:rPr>
          <w:rFonts w:ascii="Times New Roman" w:eastAsia="Calibri" w:hAnsi="Times New Roman" w:cs="Times New Roman"/>
          <w:i/>
          <w:color w:val="auto"/>
          <w:sz w:val="24"/>
        </w:rPr>
        <w:t xml:space="preserve"> </w:t>
      </w:r>
      <w:r w:rsidR="00392AC4" w:rsidRPr="007B2737">
        <w:rPr>
          <w:rFonts w:ascii="Times New Roman" w:eastAsia="Calibri" w:hAnsi="Times New Roman" w:cs="Times New Roman"/>
          <w:i/>
          <w:color w:val="auto"/>
          <w:sz w:val="24"/>
        </w:rPr>
        <w:t>Recommended Policy for New Construction</w:t>
      </w:r>
    </w:p>
    <w:p w:rsidR="004C1A1B" w:rsidRPr="00E159EF" w:rsidRDefault="004C1A1B" w:rsidP="004C1A1B">
      <w:pPr>
        <w:rPr>
          <w:rFonts w:ascii="Times New Roman" w:hAnsi="Times New Roman" w:cs="Times New Roman"/>
        </w:rPr>
      </w:pPr>
      <w:r w:rsidRPr="00E159EF">
        <w:rPr>
          <w:rFonts w:ascii="Times New Roman" w:hAnsi="Times New Roman" w:cs="Times New Roman"/>
        </w:rPr>
        <w:t xml:space="preserve">In addition to the recommendations outlined </w:t>
      </w:r>
      <w:r w:rsidR="00C45AE0">
        <w:rPr>
          <w:rFonts w:ascii="Times New Roman" w:hAnsi="Times New Roman" w:cs="Times New Roman"/>
        </w:rPr>
        <w:t>above</w:t>
      </w:r>
      <w:r w:rsidRPr="00E159EF">
        <w:rPr>
          <w:rFonts w:ascii="Times New Roman" w:hAnsi="Times New Roman" w:cs="Times New Roman"/>
        </w:rPr>
        <w:t xml:space="preserve">, the </w:t>
      </w:r>
      <w:r w:rsidR="00BF195A">
        <w:rPr>
          <w:rFonts w:ascii="Times New Roman" w:hAnsi="Times New Roman" w:cs="Times New Roman"/>
        </w:rPr>
        <w:t>committee</w:t>
      </w:r>
      <w:r w:rsidRPr="00E159EF">
        <w:rPr>
          <w:rFonts w:ascii="Times New Roman" w:hAnsi="Times New Roman" w:cs="Times New Roman"/>
        </w:rPr>
        <w:t xml:space="preserve"> recommends specific policies for NZEB </w:t>
      </w:r>
      <w:r w:rsidR="00CC5945">
        <w:rPr>
          <w:rFonts w:ascii="Times New Roman" w:hAnsi="Times New Roman" w:cs="Times New Roman"/>
        </w:rPr>
        <w:t>in</w:t>
      </w:r>
      <w:r w:rsidRPr="00E159EF">
        <w:rPr>
          <w:rFonts w:ascii="Times New Roman" w:hAnsi="Times New Roman" w:cs="Times New Roman"/>
        </w:rPr>
        <w:t xml:space="preserve"> new construction</w:t>
      </w:r>
      <w:r w:rsidR="00392AC4">
        <w:rPr>
          <w:rFonts w:ascii="Times New Roman" w:hAnsi="Times New Roman" w:cs="Times New Roman"/>
        </w:rPr>
        <w:t xml:space="preserve"> for all federal agencies (including the GSA)</w:t>
      </w:r>
      <w:r w:rsidRPr="00E159EF">
        <w:rPr>
          <w:rFonts w:ascii="Times New Roman" w:hAnsi="Times New Roman" w:cs="Times New Roman"/>
        </w:rPr>
        <w:t>.</w:t>
      </w:r>
      <w:r w:rsidR="00CC5945">
        <w:rPr>
          <w:rFonts w:ascii="Times New Roman" w:hAnsi="Times New Roman" w:cs="Times New Roman"/>
        </w:rPr>
        <w:t xml:space="preserve"> These policies are intended to support the goal of verifying 50% of </w:t>
      </w:r>
      <w:r w:rsidR="00EC3A49">
        <w:rPr>
          <w:rFonts w:ascii="Times New Roman" w:hAnsi="Times New Roman" w:cs="Times New Roman"/>
        </w:rPr>
        <w:t xml:space="preserve">federal </w:t>
      </w:r>
      <w:r w:rsidR="00CC5945">
        <w:rPr>
          <w:rFonts w:ascii="Times New Roman" w:hAnsi="Times New Roman" w:cs="Times New Roman"/>
        </w:rPr>
        <w:t>building area as NZE by 2030, as newly constructed NZEBs will count toward this goal.</w:t>
      </w:r>
    </w:p>
    <w:p w:rsidR="004C0670" w:rsidRPr="007A4F4F" w:rsidRDefault="004C0670" w:rsidP="004C0670">
      <w:pPr>
        <w:pStyle w:val="Heading2"/>
        <w:spacing w:before="120" w:after="80"/>
        <w:contextualSpacing w:val="0"/>
        <w:rPr>
          <w:rFonts w:ascii="Times New Roman" w:eastAsia="Calibri" w:hAnsi="Times New Roman" w:cs="Times New Roman"/>
          <w:b w:val="0"/>
          <w:color w:val="auto"/>
          <w:sz w:val="22"/>
          <w:szCs w:val="22"/>
        </w:rPr>
      </w:pPr>
      <w:r w:rsidRPr="00D856C4">
        <w:rPr>
          <w:rFonts w:ascii="Times New Roman" w:eastAsia="Calibri" w:hAnsi="Times New Roman" w:cs="Times New Roman"/>
          <w:b w:val="0"/>
          <w:color w:val="auto"/>
          <w:sz w:val="22"/>
          <w:szCs w:val="22"/>
        </w:rPr>
        <w:t xml:space="preserve">The </w:t>
      </w:r>
      <w:r>
        <w:rPr>
          <w:rFonts w:ascii="Times New Roman" w:eastAsia="Calibri" w:hAnsi="Times New Roman" w:cs="Times New Roman"/>
          <w:b w:val="0"/>
          <w:color w:val="auto"/>
          <w:sz w:val="22"/>
          <w:szCs w:val="22"/>
        </w:rPr>
        <w:t>Green Building Advisory Committee</w:t>
      </w:r>
      <w:r w:rsidRPr="007A4F4F">
        <w:rPr>
          <w:rFonts w:ascii="Times New Roman" w:eastAsia="Calibri" w:hAnsi="Times New Roman" w:cs="Times New Roman"/>
          <w:b w:val="0"/>
          <w:color w:val="auto"/>
          <w:sz w:val="22"/>
          <w:szCs w:val="22"/>
        </w:rPr>
        <w:t xml:space="preserve"> recommends the following policies </w:t>
      </w:r>
      <w:r w:rsidR="00A20B37">
        <w:rPr>
          <w:rFonts w:ascii="Times New Roman" w:eastAsia="Calibri" w:hAnsi="Times New Roman" w:cs="Times New Roman"/>
          <w:b w:val="0"/>
          <w:color w:val="auto"/>
          <w:sz w:val="22"/>
          <w:szCs w:val="22"/>
        </w:rPr>
        <w:t>to</w:t>
      </w:r>
      <w:r w:rsidRPr="007A4F4F">
        <w:rPr>
          <w:rFonts w:ascii="Times New Roman" w:eastAsia="Calibri" w:hAnsi="Times New Roman" w:cs="Times New Roman"/>
          <w:b w:val="0"/>
          <w:color w:val="auto"/>
          <w:sz w:val="22"/>
          <w:szCs w:val="22"/>
        </w:rPr>
        <w:t xml:space="preserve"> the </w:t>
      </w:r>
      <w:r>
        <w:rPr>
          <w:rFonts w:ascii="Times New Roman" w:eastAsia="Calibri" w:hAnsi="Times New Roman" w:cs="Times New Roman"/>
          <w:b w:val="0"/>
          <w:color w:val="auto"/>
          <w:sz w:val="22"/>
          <w:szCs w:val="22"/>
        </w:rPr>
        <w:t>GSA</w:t>
      </w:r>
      <w:r w:rsidRPr="007A4F4F">
        <w:rPr>
          <w:rFonts w:ascii="Times New Roman" w:eastAsia="Calibri" w:hAnsi="Times New Roman" w:cs="Times New Roman"/>
          <w:b w:val="0"/>
          <w:color w:val="auto"/>
          <w:sz w:val="22"/>
          <w:szCs w:val="22"/>
        </w:rPr>
        <w:t>:</w:t>
      </w:r>
    </w:p>
    <w:p w:rsidR="00182380" w:rsidRPr="00E159EF" w:rsidRDefault="00182380" w:rsidP="00182380">
      <w:pPr>
        <w:pStyle w:val="Normal1"/>
        <w:numPr>
          <w:ilvl w:val="0"/>
          <w:numId w:val="1"/>
        </w:numPr>
        <w:spacing w:after="120"/>
        <w:ind w:hanging="359"/>
        <w:contextualSpacing/>
        <w:rPr>
          <w:rFonts w:ascii="Times New Roman" w:hAnsi="Times New Roman" w:cs="Times New Roman"/>
          <w:color w:val="auto"/>
        </w:rPr>
      </w:pPr>
      <w:r w:rsidRPr="005C5256">
        <w:rPr>
          <w:rFonts w:ascii="Times New Roman" w:eastAsia="Calibri" w:hAnsi="Times New Roman" w:cs="Times New Roman"/>
          <w:b/>
          <w:color w:val="auto"/>
        </w:rPr>
        <w:t>By 2017</w:t>
      </w:r>
      <w:r w:rsidRPr="005C5256">
        <w:rPr>
          <w:rFonts w:ascii="Times New Roman" w:eastAsia="Calibri" w:hAnsi="Times New Roman" w:cs="Times New Roman"/>
          <w:color w:val="auto"/>
        </w:rPr>
        <w:t xml:space="preserve">, </w:t>
      </w:r>
      <w:r w:rsidR="00944929" w:rsidRPr="005C5256">
        <w:rPr>
          <w:rFonts w:ascii="Times New Roman" w:eastAsia="Calibri" w:hAnsi="Times New Roman" w:cs="Times New Roman"/>
          <w:color w:val="auto"/>
        </w:rPr>
        <w:t>each regional operating division (e.g., GSA regions, NPS regions)</w:t>
      </w:r>
      <w:r w:rsidRPr="005C5256">
        <w:rPr>
          <w:rFonts w:ascii="Times New Roman" w:eastAsia="Calibri" w:hAnsi="Times New Roman" w:cs="Times New Roman"/>
          <w:color w:val="auto"/>
        </w:rPr>
        <w:t xml:space="preserve"> shall </w:t>
      </w:r>
      <w:r w:rsidRPr="005C5256">
        <w:rPr>
          <w:rFonts w:ascii="Times New Roman" w:eastAsia="Calibri" w:hAnsi="Times New Roman" w:cs="Times New Roman"/>
          <w:b/>
          <w:color w:val="auto"/>
        </w:rPr>
        <w:t xml:space="preserve">initiate at least </w:t>
      </w:r>
      <w:r w:rsidRPr="005C5256">
        <w:rPr>
          <w:rFonts w:ascii="Times New Roman" w:eastAsia="Calibri" w:hAnsi="Times New Roman" w:cs="Times New Roman"/>
          <w:b/>
          <w:i/>
          <w:color w:val="auto"/>
        </w:rPr>
        <w:t>20% of new construction project square footage</w:t>
      </w:r>
      <w:r w:rsidRPr="00E159EF">
        <w:rPr>
          <w:rFonts w:ascii="Times New Roman" w:eastAsia="Calibri" w:hAnsi="Times New Roman" w:cs="Times New Roman"/>
          <w:i/>
          <w:color w:val="auto"/>
        </w:rPr>
        <w:t xml:space="preserve"> </w:t>
      </w:r>
      <w:r w:rsidRPr="00E159EF">
        <w:rPr>
          <w:rFonts w:ascii="Times New Roman" w:eastAsia="Calibri" w:hAnsi="Times New Roman" w:cs="Times New Roman"/>
          <w:color w:val="auto"/>
        </w:rPr>
        <w:t>to be NZE (a minimum of one NZE pilot project)</w:t>
      </w:r>
      <w:r w:rsidR="003A6AB4" w:rsidRPr="00E159EF">
        <w:rPr>
          <w:rFonts w:ascii="Times New Roman" w:eastAsia="Calibri" w:hAnsi="Times New Roman" w:cs="Times New Roman"/>
          <w:color w:val="auto"/>
        </w:rPr>
        <w:t>.</w:t>
      </w:r>
    </w:p>
    <w:p w:rsidR="00182380" w:rsidRPr="00E159EF" w:rsidRDefault="00182380" w:rsidP="00182380">
      <w:pPr>
        <w:pStyle w:val="Normal1"/>
        <w:numPr>
          <w:ilvl w:val="1"/>
          <w:numId w:val="1"/>
        </w:numPr>
        <w:spacing w:after="120"/>
        <w:ind w:hanging="359"/>
        <w:contextualSpacing/>
        <w:rPr>
          <w:rFonts w:ascii="Times New Roman" w:hAnsi="Times New Roman" w:cs="Times New Roman"/>
          <w:color w:val="auto"/>
        </w:rPr>
      </w:pPr>
      <w:r w:rsidRPr="00E159EF">
        <w:rPr>
          <w:rFonts w:ascii="Times New Roman" w:eastAsia="Times New Roman" w:hAnsi="Times New Roman" w:cs="Times New Roman"/>
          <w:color w:val="auto"/>
          <w:sz w:val="14"/>
        </w:rPr>
        <w:t xml:space="preserve"> </w:t>
      </w:r>
      <w:r w:rsidRPr="00E159EF">
        <w:rPr>
          <w:rFonts w:ascii="Times New Roman" w:eastAsia="Calibri" w:hAnsi="Times New Roman" w:cs="Times New Roman"/>
          <w:color w:val="auto"/>
        </w:rPr>
        <w:t>This is consistent with current GSA goal to develop NZE experience in each region on various building types</w:t>
      </w:r>
    </w:p>
    <w:p w:rsidR="00182380" w:rsidRPr="00E159EF" w:rsidRDefault="00182380" w:rsidP="001F688F">
      <w:pPr>
        <w:pStyle w:val="Normal1"/>
        <w:numPr>
          <w:ilvl w:val="1"/>
          <w:numId w:val="1"/>
        </w:numPr>
        <w:spacing w:after="120"/>
        <w:ind w:hanging="359"/>
        <w:contextualSpacing/>
        <w:rPr>
          <w:rFonts w:ascii="Times New Roman" w:hAnsi="Times New Roman" w:cs="Times New Roman"/>
          <w:color w:val="auto"/>
        </w:rPr>
      </w:pPr>
      <w:r w:rsidRPr="00E159EF">
        <w:rPr>
          <w:rFonts w:ascii="Times New Roman" w:eastAsia="Times New Roman" w:hAnsi="Times New Roman" w:cs="Times New Roman"/>
          <w:color w:val="auto"/>
          <w:sz w:val="14"/>
        </w:rPr>
        <w:t xml:space="preserve"> </w:t>
      </w:r>
      <w:r w:rsidRPr="00E159EF">
        <w:rPr>
          <w:rFonts w:ascii="Times New Roman" w:eastAsia="Calibri" w:hAnsi="Times New Roman" w:cs="Times New Roman"/>
          <w:color w:val="auto"/>
        </w:rPr>
        <w:t xml:space="preserve">Agencies with larger building portfolios (and often more opportunities for these projects) should lead the </w:t>
      </w:r>
      <w:r w:rsidR="003A6AB4" w:rsidRPr="00E159EF">
        <w:rPr>
          <w:rFonts w:ascii="Times New Roman" w:eastAsia="Calibri" w:hAnsi="Times New Roman" w:cs="Times New Roman"/>
          <w:color w:val="auto"/>
        </w:rPr>
        <w:t>effort to</w:t>
      </w:r>
      <w:r w:rsidRPr="00E159EF">
        <w:rPr>
          <w:rFonts w:ascii="Times New Roman" w:eastAsia="Calibri" w:hAnsi="Times New Roman" w:cs="Times New Roman"/>
          <w:color w:val="auto"/>
        </w:rPr>
        <w:t xml:space="preserve"> implement these recommendations.</w:t>
      </w:r>
    </w:p>
    <w:p w:rsidR="003C7BD2" w:rsidRPr="00E159EF" w:rsidRDefault="00182380">
      <w:pPr>
        <w:pStyle w:val="Normal1"/>
        <w:numPr>
          <w:ilvl w:val="0"/>
          <w:numId w:val="1"/>
        </w:numPr>
        <w:spacing w:after="120"/>
        <w:ind w:hanging="359"/>
        <w:contextualSpacing/>
        <w:rPr>
          <w:rFonts w:ascii="Times New Roman" w:hAnsi="Times New Roman" w:cs="Times New Roman"/>
          <w:color w:val="auto"/>
        </w:rPr>
      </w:pPr>
      <w:r w:rsidRPr="005C5256">
        <w:rPr>
          <w:rFonts w:ascii="Times New Roman" w:eastAsia="Calibri" w:hAnsi="Times New Roman" w:cs="Times New Roman"/>
          <w:b/>
          <w:color w:val="auto"/>
        </w:rPr>
        <w:t>By 2020, a</w:t>
      </w:r>
      <w:r w:rsidR="003C7BD2" w:rsidRPr="005C5256">
        <w:rPr>
          <w:rFonts w:ascii="Times New Roman" w:eastAsia="Calibri" w:hAnsi="Times New Roman" w:cs="Times New Roman"/>
          <w:b/>
          <w:color w:val="auto"/>
        </w:rPr>
        <w:t>ll new construction initiated shall be designed and constructed to achieve NZE by 2030</w:t>
      </w:r>
      <w:r w:rsidR="003A6AB4" w:rsidRPr="00E159EF">
        <w:rPr>
          <w:rFonts w:ascii="Times New Roman" w:eastAsia="Calibri" w:hAnsi="Times New Roman" w:cs="Times New Roman"/>
          <w:color w:val="auto"/>
        </w:rPr>
        <w:t>.</w:t>
      </w:r>
    </w:p>
    <w:p w:rsidR="003C7BD2" w:rsidRPr="00E159EF" w:rsidRDefault="003C7BD2">
      <w:pPr>
        <w:pStyle w:val="Normal1"/>
        <w:numPr>
          <w:ilvl w:val="1"/>
          <w:numId w:val="1"/>
        </w:numPr>
        <w:spacing w:after="120"/>
        <w:ind w:hanging="359"/>
        <w:contextualSpacing/>
        <w:rPr>
          <w:rFonts w:ascii="Times New Roman" w:hAnsi="Times New Roman" w:cs="Times New Roman"/>
          <w:color w:val="auto"/>
        </w:rPr>
      </w:pPr>
      <w:r w:rsidRPr="00E159EF">
        <w:rPr>
          <w:rFonts w:ascii="Times New Roman" w:eastAsia="Calibri" w:hAnsi="Times New Roman" w:cs="Times New Roman"/>
          <w:color w:val="auto"/>
        </w:rPr>
        <w:t>This is consistent with current executive order requirement</w:t>
      </w:r>
      <w:r w:rsidR="003A6AB4" w:rsidRPr="00E159EF">
        <w:rPr>
          <w:rFonts w:ascii="Times New Roman" w:eastAsia="Calibri" w:hAnsi="Times New Roman" w:cs="Times New Roman"/>
          <w:color w:val="auto"/>
        </w:rPr>
        <w:t>.</w:t>
      </w:r>
    </w:p>
    <w:p w:rsidR="00182380" w:rsidRPr="007B2737" w:rsidRDefault="00043640" w:rsidP="00EB4387">
      <w:pPr>
        <w:pStyle w:val="Heading2"/>
        <w:spacing w:before="160" w:after="40"/>
        <w:contextualSpacing w:val="0"/>
        <w:rPr>
          <w:rFonts w:ascii="Times New Roman" w:eastAsia="Calibri" w:hAnsi="Times New Roman" w:cs="Times New Roman"/>
          <w:i/>
          <w:color w:val="auto"/>
          <w:sz w:val="24"/>
        </w:rPr>
      </w:pPr>
      <w:bookmarkStart w:id="7" w:name="h.c39ib26w9183" w:colFirst="0" w:colLast="0"/>
      <w:bookmarkEnd w:id="7"/>
      <w:r>
        <w:rPr>
          <w:rFonts w:ascii="Times New Roman" w:eastAsia="Calibri" w:hAnsi="Times New Roman" w:cs="Times New Roman"/>
          <w:i/>
          <w:color w:val="auto"/>
          <w:sz w:val="24"/>
        </w:rPr>
        <w:t>Section 3d:</w:t>
      </w:r>
      <w:r w:rsidRPr="00043640" w:rsidDel="009F5DBB">
        <w:rPr>
          <w:rFonts w:ascii="Times New Roman" w:eastAsia="Calibri" w:hAnsi="Times New Roman" w:cs="Times New Roman"/>
          <w:i/>
          <w:color w:val="auto"/>
          <w:sz w:val="24"/>
        </w:rPr>
        <w:t xml:space="preserve"> </w:t>
      </w:r>
      <w:r w:rsidR="00182380" w:rsidRPr="007B2737">
        <w:rPr>
          <w:rFonts w:ascii="Times New Roman" w:eastAsia="Calibri" w:hAnsi="Times New Roman" w:cs="Times New Roman"/>
          <w:i/>
          <w:color w:val="auto"/>
          <w:sz w:val="24"/>
        </w:rPr>
        <w:t>Clear disclosure of energy use</w:t>
      </w:r>
    </w:p>
    <w:p w:rsidR="00182380" w:rsidRPr="00E159EF" w:rsidRDefault="00182380" w:rsidP="00182380">
      <w:pPr>
        <w:pStyle w:val="Normal10"/>
        <w:rPr>
          <w:rFonts w:ascii="Times New Roman" w:eastAsia="Calibri" w:hAnsi="Times New Roman" w:cs="Times New Roman"/>
          <w:color w:val="auto"/>
        </w:rPr>
      </w:pPr>
      <w:r w:rsidRPr="00E159EF">
        <w:rPr>
          <w:rFonts w:ascii="Times New Roman" w:eastAsia="Calibri" w:hAnsi="Times New Roman" w:cs="Times New Roman"/>
          <w:color w:val="auto"/>
        </w:rPr>
        <w:t xml:space="preserve">The </w:t>
      </w:r>
      <w:r w:rsidR="004C0670">
        <w:rPr>
          <w:rFonts w:ascii="Times New Roman" w:eastAsia="Calibri" w:hAnsi="Times New Roman" w:cs="Times New Roman"/>
          <w:color w:val="auto"/>
        </w:rPr>
        <w:t>GBAC</w:t>
      </w:r>
      <w:r w:rsidRPr="00E159EF">
        <w:rPr>
          <w:rFonts w:ascii="Times New Roman" w:eastAsia="Calibri" w:hAnsi="Times New Roman" w:cs="Times New Roman"/>
          <w:color w:val="auto"/>
        </w:rPr>
        <w:t xml:space="preserve"> recommends that each </w:t>
      </w:r>
      <w:r w:rsidR="00EE065C">
        <w:rPr>
          <w:rFonts w:ascii="Times New Roman" w:eastAsia="Calibri" w:hAnsi="Times New Roman" w:cs="Times New Roman"/>
          <w:color w:val="auto"/>
        </w:rPr>
        <w:t>federal</w:t>
      </w:r>
      <w:r w:rsidRPr="00E159EF">
        <w:rPr>
          <w:rFonts w:ascii="Times New Roman" w:eastAsia="Calibri" w:hAnsi="Times New Roman" w:cs="Times New Roman"/>
          <w:color w:val="auto"/>
        </w:rPr>
        <w:t xml:space="preserve"> building</w:t>
      </w:r>
      <w:r w:rsidR="00BE00A9" w:rsidRPr="00E159EF">
        <w:rPr>
          <w:rFonts w:ascii="Times New Roman" w:eastAsia="Calibri" w:hAnsi="Times New Roman" w:cs="Times New Roman"/>
          <w:color w:val="auto"/>
        </w:rPr>
        <w:t xml:space="preserve"> listed as NZE,</w:t>
      </w:r>
      <w:r w:rsidRPr="00E159EF">
        <w:rPr>
          <w:rFonts w:ascii="Times New Roman" w:eastAsia="Calibri" w:hAnsi="Times New Roman" w:cs="Times New Roman"/>
          <w:color w:val="auto"/>
        </w:rPr>
        <w:t xml:space="preserve"> whether leased or owned</w:t>
      </w:r>
      <w:r w:rsidR="00BE00A9" w:rsidRPr="00E159EF">
        <w:rPr>
          <w:rFonts w:ascii="Times New Roman" w:eastAsia="Calibri" w:hAnsi="Times New Roman" w:cs="Times New Roman"/>
          <w:color w:val="auto"/>
        </w:rPr>
        <w:t>,</w:t>
      </w:r>
      <w:r w:rsidRPr="00E159EF">
        <w:rPr>
          <w:rFonts w:ascii="Times New Roman" w:eastAsia="Calibri" w:hAnsi="Times New Roman" w:cs="Times New Roman"/>
          <w:color w:val="auto"/>
        </w:rPr>
        <w:t xml:space="preserve"> be required to publish its annual net energy use</w:t>
      </w:r>
      <w:r w:rsidR="00B74288" w:rsidRPr="00E159EF">
        <w:rPr>
          <w:rFonts w:ascii="Times New Roman" w:eastAsia="Calibri" w:hAnsi="Times New Roman" w:cs="Times New Roman"/>
          <w:color w:val="auto"/>
        </w:rPr>
        <w:t>,</w:t>
      </w:r>
      <w:r w:rsidR="00A60306" w:rsidRPr="00E159EF">
        <w:rPr>
          <w:rFonts w:ascii="Times New Roman" w:eastAsia="Calibri" w:hAnsi="Times New Roman" w:cs="Times New Roman"/>
          <w:color w:val="auto"/>
        </w:rPr>
        <w:t xml:space="preserve"> including (but not limited to):</w:t>
      </w:r>
      <w:r w:rsidRPr="00E159EF">
        <w:rPr>
          <w:rFonts w:ascii="Times New Roman" w:eastAsia="Calibri" w:hAnsi="Times New Roman" w:cs="Times New Roman"/>
          <w:color w:val="auto"/>
        </w:rPr>
        <w:t xml:space="preserve"> </w:t>
      </w:r>
      <w:r w:rsidR="00A60306" w:rsidRPr="00E159EF">
        <w:rPr>
          <w:rFonts w:ascii="Times New Roman" w:eastAsia="Calibri" w:hAnsi="Times New Roman" w:cs="Times New Roman"/>
          <w:color w:val="auto"/>
        </w:rPr>
        <w:t xml:space="preserve">annual energy consumption (by fuel source), annual energy production (by type), </w:t>
      </w:r>
      <w:r w:rsidR="00C45AE0">
        <w:rPr>
          <w:rFonts w:ascii="Times New Roman" w:eastAsia="Calibri" w:hAnsi="Times New Roman" w:cs="Times New Roman"/>
          <w:color w:val="auto"/>
        </w:rPr>
        <w:t xml:space="preserve">and </w:t>
      </w:r>
      <w:r w:rsidR="00A60306" w:rsidRPr="00E159EF">
        <w:rPr>
          <w:rFonts w:ascii="Times New Roman" w:eastAsia="Calibri" w:hAnsi="Times New Roman" w:cs="Times New Roman"/>
          <w:color w:val="auto"/>
        </w:rPr>
        <w:t xml:space="preserve">annual </w:t>
      </w:r>
      <w:r w:rsidRPr="00E159EF">
        <w:rPr>
          <w:rFonts w:ascii="Times New Roman" w:eastAsia="Calibri" w:hAnsi="Times New Roman" w:cs="Times New Roman"/>
          <w:color w:val="auto"/>
        </w:rPr>
        <w:t>energy offset via purchases or Renewable Energy Certificates.</w:t>
      </w:r>
    </w:p>
    <w:p w:rsidR="003C7BD2" w:rsidRPr="00502FAD" w:rsidRDefault="00502FAD" w:rsidP="00502FAD">
      <w:pPr>
        <w:pStyle w:val="Heading2"/>
        <w:spacing w:before="360" w:after="80"/>
        <w:contextualSpacing w:val="0"/>
        <w:rPr>
          <w:rFonts w:ascii="Times New Roman" w:eastAsia="Calibri" w:hAnsi="Times New Roman" w:cs="Times New Roman"/>
          <w:color w:val="auto"/>
          <w:sz w:val="24"/>
        </w:rPr>
      </w:pPr>
      <w:bookmarkStart w:id="8" w:name="h.gcdnuj94tbkd" w:colFirst="0" w:colLast="0"/>
      <w:bookmarkEnd w:id="8"/>
      <w:r>
        <w:rPr>
          <w:rFonts w:ascii="Times New Roman" w:eastAsia="Calibri" w:hAnsi="Times New Roman" w:cs="Times New Roman"/>
          <w:color w:val="auto"/>
          <w:sz w:val="24"/>
        </w:rPr>
        <w:t>Section 4:</w:t>
      </w:r>
      <w:r w:rsidR="003C7BD2" w:rsidRPr="00502FAD">
        <w:rPr>
          <w:rFonts w:ascii="Times New Roman" w:eastAsia="Calibri" w:hAnsi="Times New Roman" w:cs="Times New Roman"/>
          <w:color w:val="auto"/>
          <w:sz w:val="24"/>
        </w:rPr>
        <w:t xml:space="preserve"> Implementation </w:t>
      </w:r>
      <w:r w:rsidR="00A60306" w:rsidRPr="00502FAD">
        <w:rPr>
          <w:rFonts w:ascii="Times New Roman" w:eastAsia="Calibri" w:hAnsi="Times New Roman" w:cs="Times New Roman"/>
          <w:color w:val="auto"/>
          <w:sz w:val="24"/>
        </w:rPr>
        <w:t>R</w:t>
      </w:r>
      <w:r w:rsidR="003C7BD2" w:rsidRPr="00502FAD">
        <w:rPr>
          <w:rFonts w:ascii="Times New Roman" w:eastAsia="Calibri" w:hAnsi="Times New Roman" w:cs="Times New Roman"/>
          <w:color w:val="auto"/>
          <w:sz w:val="24"/>
        </w:rPr>
        <w:t xml:space="preserve">ecommendations: </w:t>
      </w:r>
      <w:r w:rsidR="00A60306" w:rsidRPr="00502FAD">
        <w:rPr>
          <w:rFonts w:ascii="Times New Roman" w:eastAsia="Calibri" w:hAnsi="Times New Roman" w:cs="Times New Roman"/>
          <w:color w:val="auto"/>
          <w:sz w:val="24"/>
        </w:rPr>
        <w:t>B</w:t>
      </w:r>
      <w:r w:rsidR="003C7BD2" w:rsidRPr="00502FAD">
        <w:rPr>
          <w:rFonts w:ascii="Times New Roman" w:eastAsia="Calibri" w:hAnsi="Times New Roman" w:cs="Times New Roman"/>
          <w:color w:val="auto"/>
          <w:sz w:val="24"/>
        </w:rPr>
        <w:t xml:space="preserve">arriers and </w:t>
      </w:r>
      <w:r w:rsidR="00A60306" w:rsidRPr="00502FAD">
        <w:rPr>
          <w:rFonts w:ascii="Times New Roman" w:eastAsia="Calibri" w:hAnsi="Times New Roman" w:cs="Times New Roman"/>
          <w:color w:val="auto"/>
          <w:sz w:val="24"/>
        </w:rPr>
        <w:t>S</w:t>
      </w:r>
      <w:r w:rsidR="003C7BD2" w:rsidRPr="00502FAD">
        <w:rPr>
          <w:rFonts w:ascii="Times New Roman" w:eastAsia="Calibri" w:hAnsi="Times New Roman" w:cs="Times New Roman"/>
          <w:color w:val="auto"/>
          <w:sz w:val="24"/>
        </w:rPr>
        <w:t>olutions</w:t>
      </w:r>
    </w:p>
    <w:p w:rsidR="0022342F" w:rsidRPr="00E159EF" w:rsidRDefault="00A44627" w:rsidP="00A60306">
      <w:pPr>
        <w:rPr>
          <w:rFonts w:ascii="Times New Roman" w:hAnsi="Times New Roman" w:cs="Times New Roman"/>
        </w:rPr>
      </w:pPr>
      <w:bookmarkStart w:id="9" w:name="h.qve7iw1wo68r" w:colFirst="0" w:colLast="0"/>
      <w:bookmarkEnd w:id="9"/>
      <w:r w:rsidRPr="00E159EF">
        <w:rPr>
          <w:rFonts w:ascii="Times New Roman" w:hAnsi="Times New Roman" w:cs="Times New Roman"/>
        </w:rPr>
        <w:t xml:space="preserve">The simplest way to achieve a NZEB is to drastically reduce building energy use through efficiency, and to directly implement renewable energy systems (e.g., solar PV) to balance the building’s energy consumption. </w:t>
      </w:r>
      <w:r w:rsidR="003C7BD2" w:rsidRPr="00E159EF">
        <w:rPr>
          <w:rFonts w:ascii="Times New Roman" w:hAnsi="Times New Roman" w:cs="Times New Roman"/>
        </w:rPr>
        <w:t xml:space="preserve">The technology exists today to cost effectively build </w:t>
      </w:r>
      <w:r w:rsidR="00C47C83" w:rsidRPr="00E159EF">
        <w:rPr>
          <w:rFonts w:ascii="Times New Roman" w:hAnsi="Times New Roman" w:cs="Times New Roman"/>
        </w:rPr>
        <w:t xml:space="preserve">new </w:t>
      </w:r>
      <w:r w:rsidR="003C7BD2" w:rsidRPr="00E159EF">
        <w:rPr>
          <w:rFonts w:ascii="Times New Roman" w:hAnsi="Times New Roman" w:cs="Times New Roman"/>
        </w:rPr>
        <w:t xml:space="preserve">NZE buildings, </w:t>
      </w:r>
      <w:r w:rsidR="00C47C83" w:rsidRPr="00E159EF">
        <w:rPr>
          <w:rFonts w:ascii="Times New Roman" w:hAnsi="Times New Roman" w:cs="Times New Roman"/>
        </w:rPr>
        <w:t xml:space="preserve">perform </w:t>
      </w:r>
      <w:r w:rsidR="003C7BD2" w:rsidRPr="00E159EF">
        <w:rPr>
          <w:rFonts w:ascii="Times New Roman" w:hAnsi="Times New Roman" w:cs="Times New Roman"/>
        </w:rPr>
        <w:t>NZE remodels, develop NZE campuses</w:t>
      </w:r>
      <w:r w:rsidR="009F5DBB">
        <w:rPr>
          <w:rFonts w:ascii="Times New Roman" w:hAnsi="Times New Roman" w:cs="Times New Roman"/>
        </w:rPr>
        <w:t>,</w:t>
      </w:r>
      <w:r w:rsidR="003C7BD2" w:rsidRPr="00E159EF">
        <w:rPr>
          <w:rFonts w:ascii="Times New Roman" w:hAnsi="Times New Roman" w:cs="Times New Roman"/>
        </w:rPr>
        <w:t xml:space="preserve"> and even </w:t>
      </w:r>
      <w:r w:rsidR="00C47C83" w:rsidRPr="00E159EF">
        <w:rPr>
          <w:rFonts w:ascii="Times New Roman" w:hAnsi="Times New Roman" w:cs="Times New Roman"/>
        </w:rPr>
        <w:t xml:space="preserve">plan </w:t>
      </w:r>
      <w:r w:rsidR="003C7BD2" w:rsidRPr="00E159EF">
        <w:rPr>
          <w:rFonts w:ascii="Times New Roman" w:hAnsi="Times New Roman" w:cs="Times New Roman"/>
        </w:rPr>
        <w:t>NZE communities</w:t>
      </w:r>
      <w:r w:rsidR="00A60306" w:rsidRPr="00E159EF">
        <w:rPr>
          <w:rFonts w:ascii="Times New Roman" w:hAnsi="Times New Roman" w:cs="Times New Roman"/>
        </w:rPr>
        <w:t>.</w:t>
      </w:r>
      <w:r w:rsidR="003C7BD2" w:rsidRPr="00E159EF">
        <w:rPr>
          <w:rFonts w:ascii="Times New Roman" w:hAnsi="Times New Roman" w:cs="Times New Roman"/>
        </w:rPr>
        <w:t xml:space="preserve"> </w:t>
      </w:r>
      <w:r w:rsidR="00A60306" w:rsidRPr="00E159EF">
        <w:rPr>
          <w:rFonts w:ascii="Times New Roman" w:hAnsi="Times New Roman" w:cs="Times New Roman"/>
        </w:rPr>
        <w:t>H</w:t>
      </w:r>
      <w:r w:rsidR="003C7BD2" w:rsidRPr="00E159EF">
        <w:rPr>
          <w:rFonts w:ascii="Times New Roman" w:hAnsi="Times New Roman" w:cs="Times New Roman"/>
        </w:rPr>
        <w:t>owever</w:t>
      </w:r>
      <w:r w:rsidR="00A60306" w:rsidRPr="00E159EF">
        <w:rPr>
          <w:rFonts w:ascii="Times New Roman" w:hAnsi="Times New Roman" w:cs="Times New Roman"/>
        </w:rPr>
        <w:t>,</w:t>
      </w:r>
      <w:r w:rsidR="003C7BD2" w:rsidRPr="00E159EF">
        <w:rPr>
          <w:rFonts w:ascii="Times New Roman" w:hAnsi="Times New Roman" w:cs="Times New Roman"/>
        </w:rPr>
        <w:t xml:space="preserve"> there are many barriers to effective implementation of energy use reduction and renewable energy installation strategies.  </w:t>
      </w:r>
      <w:r w:rsidR="00341D8A" w:rsidRPr="00E159EF">
        <w:rPr>
          <w:rFonts w:ascii="Times New Roman" w:hAnsi="Times New Roman" w:cs="Times New Roman"/>
        </w:rPr>
        <w:t xml:space="preserve">These </w:t>
      </w:r>
      <w:r w:rsidR="003C7BD2" w:rsidRPr="00E159EF">
        <w:rPr>
          <w:rFonts w:ascii="Times New Roman" w:hAnsi="Times New Roman" w:cs="Times New Roman"/>
        </w:rPr>
        <w:lastRenderedPageBreak/>
        <w:t>include</w:t>
      </w:r>
      <w:r w:rsidR="00A60306" w:rsidRPr="00E159EF">
        <w:rPr>
          <w:rFonts w:ascii="Times New Roman" w:hAnsi="Times New Roman" w:cs="Times New Roman"/>
        </w:rPr>
        <w:t>:</w:t>
      </w:r>
      <w:r w:rsidR="003C7BD2" w:rsidRPr="00E159EF">
        <w:rPr>
          <w:rFonts w:ascii="Times New Roman" w:hAnsi="Times New Roman" w:cs="Times New Roman"/>
        </w:rPr>
        <w:t xml:space="preserve"> utility regulations that discourage building owners from generating net “positive” energy, the </w:t>
      </w:r>
      <w:r w:rsidR="00C45AE0">
        <w:rPr>
          <w:rFonts w:ascii="Times New Roman" w:hAnsi="Times New Roman" w:cs="Times New Roman"/>
        </w:rPr>
        <w:t>lack of</w:t>
      </w:r>
      <w:r w:rsidR="003C7BD2" w:rsidRPr="00E159EF">
        <w:rPr>
          <w:rFonts w:ascii="Times New Roman" w:hAnsi="Times New Roman" w:cs="Times New Roman"/>
        </w:rPr>
        <w:t xml:space="preserve"> smart grid and storage technologies to allow for a higher percentage of renewable energy to be introduced to the grid, limits on financing</w:t>
      </w:r>
      <w:r w:rsidR="00B74288" w:rsidRPr="00E159EF">
        <w:rPr>
          <w:rFonts w:ascii="Times New Roman" w:hAnsi="Times New Roman" w:cs="Times New Roman"/>
        </w:rPr>
        <w:t>,</w:t>
      </w:r>
      <w:r w:rsidR="003C7BD2" w:rsidRPr="00E159EF">
        <w:rPr>
          <w:rFonts w:ascii="Times New Roman" w:hAnsi="Times New Roman" w:cs="Times New Roman"/>
        </w:rPr>
        <w:t xml:space="preserve"> </w:t>
      </w:r>
      <w:r w:rsidR="009F5DBB">
        <w:rPr>
          <w:rFonts w:ascii="Times New Roman" w:hAnsi="Times New Roman" w:cs="Times New Roman"/>
        </w:rPr>
        <w:t xml:space="preserve">and </w:t>
      </w:r>
      <w:r w:rsidR="003C7BD2" w:rsidRPr="00E159EF">
        <w:rPr>
          <w:rFonts w:ascii="Times New Roman" w:hAnsi="Times New Roman" w:cs="Times New Roman"/>
        </w:rPr>
        <w:t>the availability of abundant low cost energy generated from high carbon emission sources that does not account for the environmental impacts of increased mining, pollution</w:t>
      </w:r>
      <w:r w:rsidR="00A60306" w:rsidRPr="00E159EF">
        <w:rPr>
          <w:rFonts w:ascii="Times New Roman" w:hAnsi="Times New Roman" w:cs="Times New Roman"/>
        </w:rPr>
        <w:t>,</w:t>
      </w:r>
      <w:r w:rsidR="003C7BD2" w:rsidRPr="00E159EF">
        <w:rPr>
          <w:rFonts w:ascii="Times New Roman" w:hAnsi="Times New Roman" w:cs="Times New Roman"/>
        </w:rPr>
        <w:t xml:space="preserve"> and global warming.</w:t>
      </w:r>
    </w:p>
    <w:p w:rsidR="0022342F" w:rsidRPr="00E159EF" w:rsidRDefault="0022342F" w:rsidP="00A60306">
      <w:pPr>
        <w:rPr>
          <w:rFonts w:ascii="Times New Roman" w:hAnsi="Times New Roman" w:cs="Times New Roman"/>
        </w:rPr>
      </w:pPr>
      <w:r w:rsidRPr="005C5256">
        <w:rPr>
          <w:rFonts w:ascii="Times New Roman" w:hAnsi="Times New Roman" w:cs="Times New Roman"/>
        </w:rPr>
        <w:t xml:space="preserve">One common example of </w:t>
      </w:r>
      <w:r w:rsidR="00AC4B43" w:rsidRPr="005C5256">
        <w:rPr>
          <w:rFonts w:ascii="Times New Roman" w:hAnsi="Times New Roman" w:cs="Times New Roman"/>
        </w:rPr>
        <w:t xml:space="preserve">a barrier </w:t>
      </w:r>
      <w:r w:rsidR="004F7DEF" w:rsidRPr="005C5256">
        <w:rPr>
          <w:rFonts w:ascii="Times New Roman" w:hAnsi="Times New Roman" w:cs="Times New Roman"/>
        </w:rPr>
        <w:t xml:space="preserve">to buildings reaching “net zero energy” or even “net positive energy” </w:t>
      </w:r>
      <w:r w:rsidRPr="005C5256">
        <w:rPr>
          <w:rFonts w:ascii="Times New Roman" w:hAnsi="Times New Roman" w:cs="Times New Roman"/>
        </w:rPr>
        <w:t xml:space="preserve">is utility </w:t>
      </w:r>
      <w:r w:rsidR="009F5DBB" w:rsidRPr="005C5256">
        <w:rPr>
          <w:rFonts w:ascii="Times New Roman" w:hAnsi="Times New Roman" w:cs="Times New Roman"/>
        </w:rPr>
        <w:t>net</w:t>
      </w:r>
      <w:r w:rsidR="009F5DBB">
        <w:rPr>
          <w:rFonts w:ascii="Times New Roman" w:hAnsi="Times New Roman" w:cs="Times New Roman"/>
        </w:rPr>
        <w:t>-</w:t>
      </w:r>
      <w:r w:rsidRPr="005C5256">
        <w:rPr>
          <w:rFonts w:ascii="Times New Roman" w:hAnsi="Times New Roman" w:cs="Times New Roman"/>
        </w:rPr>
        <w:t>metering rules</w:t>
      </w:r>
      <w:r w:rsidR="00A60306" w:rsidRPr="005C5256">
        <w:rPr>
          <w:rFonts w:ascii="Times New Roman" w:hAnsi="Times New Roman" w:cs="Times New Roman"/>
        </w:rPr>
        <w:t>. These rules often lead utilities to</w:t>
      </w:r>
      <w:r w:rsidRPr="005C5256">
        <w:rPr>
          <w:rFonts w:ascii="Times New Roman" w:hAnsi="Times New Roman" w:cs="Times New Roman"/>
        </w:rPr>
        <w:t xml:space="preserve"> buy excess renewable energy at retail time</w:t>
      </w:r>
      <w:r w:rsidR="00C45AE0">
        <w:rPr>
          <w:rFonts w:ascii="Times New Roman" w:hAnsi="Times New Roman" w:cs="Times New Roman"/>
        </w:rPr>
        <w:t>-</w:t>
      </w:r>
      <w:r w:rsidRPr="005C5256">
        <w:rPr>
          <w:rFonts w:ascii="Times New Roman" w:hAnsi="Times New Roman" w:cs="Times New Roman"/>
        </w:rPr>
        <w:t>of</w:t>
      </w:r>
      <w:r w:rsidR="00C45AE0">
        <w:rPr>
          <w:rFonts w:ascii="Times New Roman" w:hAnsi="Times New Roman" w:cs="Times New Roman"/>
        </w:rPr>
        <w:t>-</w:t>
      </w:r>
      <w:r w:rsidRPr="005C5256">
        <w:rPr>
          <w:rFonts w:ascii="Times New Roman" w:hAnsi="Times New Roman" w:cs="Times New Roman"/>
        </w:rPr>
        <w:t>use rates</w:t>
      </w:r>
      <w:r w:rsidR="00A60306" w:rsidRPr="005C5256">
        <w:rPr>
          <w:rFonts w:ascii="Times New Roman" w:hAnsi="Times New Roman" w:cs="Times New Roman"/>
        </w:rPr>
        <w:t xml:space="preserve"> from customers</w:t>
      </w:r>
      <w:r w:rsidRPr="005C5256">
        <w:rPr>
          <w:rFonts w:ascii="Times New Roman" w:hAnsi="Times New Roman" w:cs="Times New Roman"/>
        </w:rPr>
        <w:t xml:space="preserve"> until the annual utility bill reaches zero, at which point the customer effectively donates </w:t>
      </w:r>
      <w:r w:rsidR="00AC4B43" w:rsidRPr="005C5256">
        <w:rPr>
          <w:rFonts w:ascii="Times New Roman" w:hAnsi="Times New Roman" w:cs="Times New Roman"/>
        </w:rPr>
        <w:t>the excess power to the utility</w:t>
      </w:r>
      <w:r w:rsidRPr="005C5256">
        <w:rPr>
          <w:rFonts w:ascii="Times New Roman" w:hAnsi="Times New Roman" w:cs="Times New Roman"/>
        </w:rPr>
        <w:t xml:space="preserve">.  If </w:t>
      </w:r>
      <w:r w:rsidR="009F5DBB" w:rsidRPr="005C5256">
        <w:rPr>
          <w:rFonts w:ascii="Times New Roman" w:hAnsi="Times New Roman" w:cs="Times New Roman"/>
        </w:rPr>
        <w:t>time</w:t>
      </w:r>
      <w:r w:rsidR="009F5DBB">
        <w:rPr>
          <w:rFonts w:ascii="Times New Roman" w:hAnsi="Times New Roman" w:cs="Times New Roman"/>
        </w:rPr>
        <w:t>-</w:t>
      </w:r>
      <w:r w:rsidR="009F5DBB" w:rsidRPr="005C5256">
        <w:rPr>
          <w:rFonts w:ascii="Times New Roman" w:hAnsi="Times New Roman" w:cs="Times New Roman"/>
        </w:rPr>
        <w:t>of</w:t>
      </w:r>
      <w:r w:rsidR="009F5DBB">
        <w:rPr>
          <w:rFonts w:ascii="Times New Roman" w:hAnsi="Times New Roman" w:cs="Times New Roman"/>
        </w:rPr>
        <w:t>-</w:t>
      </w:r>
      <w:r w:rsidRPr="005C5256">
        <w:rPr>
          <w:rFonts w:ascii="Times New Roman" w:hAnsi="Times New Roman" w:cs="Times New Roman"/>
        </w:rPr>
        <w:t xml:space="preserve">use rates are high in the afternoon and low at night, buildings effectively sell their excess PV generated </w:t>
      </w:r>
      <w:r w:rsidR="002971F8" w:rsidRPr="005C5256">
        <w:rPr>
          <w:rFonts w:ascii="Times New Roman" w:hAnsi="Times New Roman" w:cs="Times New Roman"/>
        </w:rPr>
        <w:t xml:space="preserve">power </w:t>
      </w:r>
      <w:r w:rsidR="002971F8">
        <w:rPr>
          <w:rFonts w:ascii="Times New Roman" w:hAnsi="Times New Roman" w:cs="Times New Roman"/>
        </w:rPr>
        <w:t>at</w:t>
      </w:r>
      <w:r w:rsidR="00C45AE0">
        <w:rPr>
          <w:rFonts w:ascii="Times New Roman" w:hAnsi="Times New Roman" w:cs="Times New Roman"/>
        </w:rPr>
        <w:t xml:space="preserve"> </w:t>
      </w:r>
      <w:r w:rsidRPr="005C5256">
        <w:rPr>
          <w:rFonts w:ascii="Times New Roman" w:hAnsi="Times New Roman" w:cs="Times New Roman"/>
        </w:rPr>
        <w:t>high</w:t>
      </w:r>
      <w:r w:rsidR="00C45AE0">
        <w:rPr>
          <w:rFonts w:ascii="Times New Roman" w:hAnsi="Times New Roman" w:cs="Times New Roman"/>
        </w:rPr>
        <w:t xml:space="preserve"> cost</w:t>
      </w:r>
      <w:r w:rsidR="00C45AE0" w:rsidRPr="005C5256">
        <w:rPr>
          <w:rFonts w:ascii="Times New Roman" w:hAnsi="Times New Roman" w:cs="Times New Roman"/>
        </w:rPr>
        <w:t xml:space="preserve"> </w:t>
      </w:r>
      <w:r w:rsidRPr="005C5256">
        <w:rPr>
          <w:rFonts w:ascii="Times New Roman" w:hAnsi="Times New Roman" w:cs="Times New Roman"/>
        </w:rPr>
        <w:t xml:space="preserve">and buy back </w:t>
      </w:r>
      <w:r w:rsidR="00DD05A8" w:rsidRPr="005C5256">
        <w:rPr>
          <w:rFonts w:ascii="Times New Roman" w:hAnsi="Times New Roman" w:cs="Times New Roman"/>
        </w:rPr>
        <w:t xml:space="preserve">grid power </w:t>
      </w:r>
      <w:r w:rsidR="00C45AE0">
        <w:rPr>
          <w:rFonts w:ascii="Times New Roman" w:hAnsi="Times New Roman" w:cs="Times New Roman"/>
        </w:rPr>
        <w:t>at low cost.</w:t>
      </w:r>
      <w:r w:rsidRPr="005C5256">
        <w:rPr>
          <w:rFonts w:ascii="Times New Roman" w:hAnsi="Times New Roman" w:cs="Times New Roman"/>
        </w:rPr>
        <w:t xml:space="preserve"> The result is that the utility bill reaches </w:t>
      </w:r>
      <w:r w:rsidR="004F7DEF" w:rsidRPr="005C5256">
        <w:rPr>
          <w:rFonts w:ascii="Times New Roman" w:hAnsi="Times New Roman" w:cs="Times New Roman"/>
        </w:rPr>
        <w:t>net</w:t>
      </w:r>
      <w:r w:rsidR="009F5DBB">
        <w:rPr>
          <w:rFonts w:ascii="Times New Roman" w:hAnsi="Times New Roman" w:cs="Times New Roman"/>
        </w:rPr>
        <w:t>-</w:t>
      </w:r>
      <w:r w:rsidRPr="005C5256">
        <w:rPr>
          <w:rFonts w:ascii="Times New Roman" w:hAnsi="Times New Roman" w:cs="Times New Roman"/>
        </w:rPr>
        <w:t>zero</w:t>
      </w:r>
      <w:r w:rsidR="004F7DEF" w:rsidRPr="005C5256">
        <w:rPr>
          <w:rFonts w:ascii="Times New Roman" w:hAnsi="Times New Roman" w:cs="Times New Roman"/>
        </w:rPr>
        <w:t xml:space="preserve"> cost</w:t>
      </w:r>
      <w:r w:rsidRPr="005C5256">
        <w:rPr>
          <w:rFonts w:ascii="Times New Roman" w:hAnsi="Times New Roman" w:cs="Times New Roman"/>
        </w:rPr>
        <w:t xml:space="preserve"> well before the building reaches net</w:t>
      </w:r>
      <w:r w:rsidR="009F5DBB">
        <w:rPr>
          <w:rFonts w:ascii="Times New Roman" w:hAnsi="Times New Roman" w:cs="Times New Roman"/>
        </w:rPr>
        <w:t>-</w:t>
      </w:r>
      <w:r w:rsidRPr="005C5256">
        <w:rPr>
          <w:rFonts w:ascii="Times New Roman" w:hAnsi="Times New Roman" w:cs="Times New Roman"/>
        </w:rPr>
        <w:t>zero energy on an annual basis</w:t>
      </w:r>
      <w:r w:rsidR="00C45AE0">
        <w:rPr>
          <w:rFonts w:ascii="Times New Roman" w:hAnsi="Times New Roman" w:cs="Times New Roman"/>
        </w:rPr>
        <w:t xml:space="preserve">, leading </w:t>
      </w:r>
      <w:r w:rsidR="00AC4B43" w:rsidRPr="005C5256">
        <w:rPr>
          <w:rFonts w:ascii="Times New Roman" w:hAnsi="Times New Roman" w:cs="Times New Roman"/>
        </w:rPr>
        <w:t xml:space="preserve">most firms </w:t>
      </w:r>
      <w:r w:rsidR="00C45AE0">
        <w:rPr>
          <w:rFonts w:ascii="Times New Roman" w:hAnsi="Times New Roman" w:cs="Times New Roman"/>
        </w:rPr>
        <w:t xml:space="preserve">to </w:t>
      </w:r>
      <w:r w:rsidR="00AC4B43" w:rsidRPr="005C5256">
        <w:rPr>
          <w:rFonts w:ascii="Times New Roman" w:hAnsi="Times New Roman" w:cs="Times New Roman"/>
        </w:rPr>
        <w:t xml:space="preserve">opt to put in a system that targets </w:t>
      </w:r>
      <w:r w:rsidR="004F7DEF" w:rsidRPr="005C5256">
        <w:rPr>
          <w:rFonts w:ascii="Times New Roman" w:hAnsi="Times New Roman" w:cs="Times New Roman"/>
        </w:rPr>
        <w:t>net</w:t>
      </w:r>
      <w:r w:rsidR="009F5DBB">
        <w:rPr>
          <w:rFonts w:ascii="Times New Roman" w:hAnsi="Times New Roman" w:cs="Times New Roman"/>
        </w:rPr>
        <w:t>-</w:t>
      </w:r>
      <w:r w:rsidR="00AC4B43" w:rsidRPr="005C5256">
        <w:rPr>
          <w:rFonts w:ascii="Times New Roman" w:hAnsi="Times New Roman" w:cs="Times New Roman"/>
        </w:rPr>
        <w:t>zero cost rather than net</w:t>
      </w:r>
      <w:r w:rsidR="009F5DBB">
        <w:rPr>
          <w:rFonts w:ascii="Times New Roman" w:hAnsi="Times New Roman" w:cs="Times New Roman"/>
        </w:rPr>
        <w:t>-</w:t>
      </w:r>
      <w:r w:rsidR="00AC4B43" w:rsidRPr="005C5256">
        <w:rPr>
          <w:rFonts w:ascii="Times New Roman" w:hAnsi="Times New Roman" w:cs="Times New Roman"/>
        </w:rPr>
        <w:t>zero energy.</w:t>
      </w:r>
      <w:r w:rsidR="00D856C4">
        <w:rPr>
          <w:rFonts w:ascii="Times New Roman" w:hAnsi="Times New Roman" w:cs="Times New Roman"/>
        </w:rPr>
        <w:t xml:space="preserve"> The federal government should </w:t>
      </w:r>
      <w:r w:rsidR="00AB5AE9">
        <w:rPr>
          <w:rFonts w:ascii="Times New Roman" w:hAnsi="Times New Roman" w:cs="Times New Roman"/>
        </w:rPr>
        <w:t>work</w:t>
      </w:r>
      <w:r w:rsidR="00D856C4">
        <w:rPr>
          <w:rFonts w:ascii="Times New Roman" w:hAnsi="Times New Roman" w:cs="Times New Roman"/>
        </w:rPr>
        <w:t xml:space="preserve"> to address this issue by target</w:t>
      </w:r>
      <w:r w:rsidR="00AB5AE9">
        <w:rPr>
          <w:rFonts w:ascii="Times New Roman" w:hAnsi="Times New Roman" w:cs="Times New Roman"/>
        </w:rPr>
        <w:t>ing</w:t>
      </w:r>
      <w:r w:rsidR="00D856C4">
        <w:rPr>
          <w:rFonts w:ascii="Times New Roman" w:hAnsi="Times New Roman" w:cs="Times New Roman"/>
        </w:rPr>
        <w:t xml:space="preserve"> net zero energy in the most economically advantageous manner.</w:t>
      </w:r>
    </w:p>
    <w:p w:rsidR="009E43E9" w:rsidRPr="00E159EF" w:rsidRDefault="00341D8A" w:rsidP="0095138C">
      <w:pPr>
        <w:rPr>
          <w:rFonts w:ascii="Times New Roman" w:hAnsi="Times New Roman" w:cs="Times New Roman"/>
        </w:rPr>
      </w:pPr>
      <w:r w:rsidRPr="00AB5AE9">
        <w:rPr>
          <w:rFonts w:ascii="Times New Roman" w:hAnsi="Times New Roman" w:cs="Times New Roman"/>
        </w:rPr>
        <w:t xml:space="preserve">This </w:t>
      </w:r>
      <w:r w:rsidR="004C0670">
        <w:rPr>
          <w:rFonts w:ascii="Times New Roman" w:hAnsi="Times New Roman" w:cs="Times New Roman"/>
        </w:rPr>
        <w:t>committee</w:t>
      </w:r>
      <w:r w:rsidRPr="00AB5AE9">
        <w:rPr>
          <w:rFonts w:ascii="Times New Roman" w:hAnsi="Times New Roman" w:cs="Times New Roman"/>
        </w:rPr>
        <w:t xml:space="preserve"> believes that</w:t>
      </w:r>
      <w:r w:rsidR="00FD226F" w:rsidRPr="00AB5AE9">
        <w:rPr>
          <w:rFonts w:ascii="Times New Roman" w:hAnsi="Times New Roman" w:cs="Times New Roman"/>
        </w:rPr>
        <w:t xml:space="preserve"> </w:t>
      </w:r>
      <w:r w:rsidR="00F6316F" w:rsidRPr="00AB5AE9">
        <w:rPr>
          <w:rFonts w:ascii="Times New Roman" w:hAnsi="Times New Roman" w:cs="Times New Roman"/>
        </w:rPr>
        <w:t xml:space="preserve">the GSA could use several triggers </w:t>
      </w:r>
      <w:r w:rsidR="00AB5AE9">
        <w:rPr>
          <w:rFonts w:ascii="Times New Roman" w:hAnsi="Times New Roman" w:cs="Times New Roman"/>
        </w:rPr>
        <w:t>to</w:t>
      </w:r>
      <w:r w:rsidR="00F6316F" w:rsidRPr="00AB5AE9">
        <w:rPr>
          <w:rFonts w:ascii="Times New Roman" w:hAnsi="Times New Roman" w:cs="Times New Roman"/>
        </w:rPr>
        <w:t xml:space="preserve"> determining the most cost-effective and impactful </w:t>
      </w:r>
      <w:r w:rsidR="00F6316F" w:rsidRPr="00AB5AE9">
        <w:rPr>
          <w:rFonts w:ascii="Times New Roman" w:hAnsi="Times New Roman" w:cs="Times New Roman"/>
          <w:b/>
        </w:rPr>
        <w:t>opportunities</w:t>
      </w:r>
      <w:r w:rsidR="00F6316F" w:rsidRPr="00AB5AE9">
        <w:rPr>
          <w:rFonts w:ascii="Times New Roman" w:hAnsi="Times New Roman" w:cs="Times New Roman"/>
        </w:rPr>
        <w:t xml:space="preserve"> for new NZE projects. Several </w:t>
      </w:r>
      <w:r w:rsidR="00F6316F" w:rsidRPr="00AB5AE9">
        <w:rPr>
          <w:rFonts w:ascii="Times New Roman" w:hAnsi="Times New Roman" w:cs="Times New Roman"/>
          <w:b/>
        </w:rPr>
        <w:t>tools</w:t>
      </w:r>
      <w:r w:rsidR="00F6316F" w:rsidRPr="00AB5AE9">
        <w:rPr>
          <w:rFonts w:ascii="Times New Roman" w:hAnsi="Times New Roman" w:cs="Times New Roman"/>
        </w:rPr>
        <w:t xml:space="preserve"> can then assist the GSA and other federal agencies in taking advantage of these opportunities and overcoming the potential barriers associated with renewable energy and energy efficiency projects. Executing</w:t>
      </w:r>
      <w:r w:rsidR="00984D8F" w:rsidRPr="00AB5AE9">
        <w:rPr>
          <w:rFonts w:ascii="Times New Roman" w:hAnsi="Times New Roman" w:cs="Times New Roman"/>
        </w:rPr>
        <w:t xml:space="preserve"> NZE projects </w:t>
      </w:r>
      <w:r w:rsidR="007453D7" w:rsidRPr="00AB5AE9">
        <w:rPr>
          <w:rFonts w:ascii="Times New Roman" w:hAnsi="Times New Roman" w:cs="Times New Roman"/>
        </w:rPr>
        <w:t>will help the GSA and other federal agencies achieve</w:t>
      </w:r>
      <w:r w:rsidR="00984D8F" w:rsidRPr="00AB5AE9">
        <w:rPr>
          <w:rFonts w:ascii="Times New Roman" w:hAnsi="Times New Roman" w:cs="Times New Roman"/>
        </w:rPr>
        <w:t xml:space="preserve"> </w:t>
      </w:r>
      <w:r w:rsidR="00984D8F" w:rsidRPr="00AB5AE9">
        <w:rPr>
          <w:rFonts w:ascii="Times New Roman" w:hAnsi="Times New Roman" w:cs="Times New Roman"/>
          <w:b/>
        </w:rPr>
        <w:t>compliance</w:t>
      </w:r>
      <w:r w:rsidR="00984D8F" w:rsidRPr="00AB5AE9">
        <w:rPr>
          <w:rFonts w:ascii="Times New Roman" w:hAnsi="Times New Roman" w:cs="Times New Roman"/>
        </w:rPr>
        <w:t xml:space="preserve"> with federal goals and directives </w:t>
      </w:r>
      <w:r w:rsidR="007453D7" w:rsidRPr="00AB5AE9">
        <w:rPr>
          <w:rFonts w:ascii="Times New Roman" w:hAnsi="Times New Roman" w:cs="Times New Roman"/>
        </w:rPr>
        <w:t>and become leaders in the NZE space.</w:t>
      </w:r>
    </w:p>
    <w:p w:rsidR="007453D7" w:rsidRPr="004165A4" w:rsidRDefault="004165A4" w:rsidP="00243BF9">
      <w:pPr>
        <w:pStyle w:val="Normal1"/>
        <w:rPr>
          <w:rFonts w:ascii="Times New Roman" w:hAnsi="Times New Roman" w:cs="Times New Roman"/>
          <w:b/>
          <w:i/>
          <w:color w:val="auto"/>
        </w:rPr>
      </w:pPr>
      <w:r w:rsidRPr="004165A4">
        <w:rPr>
          <w:rFonts w:ascii="Times New Roman" w:hAnsi="Times New Roman" w:cs="Times New Roman"/>
          <w:b/>
          <w:i/>
          <w:color w:val="auto"/>
        </w:rPr>
        <w:t xml:space="preserve">Section 4.1: </w:t>
      </w:r>
      <w:r w:rsidR="007453D7" w:rsidRPr="004165A4">
        <w:rPr>
          <w:rFonts w:ascii="Times New Roman" w:hAnsi="Times New Roman" w:cs="Times New Roman"/>
          <w:b/>
          <w:i/>
          <w:color w:val="auto"/>
        </w:rPr>
        <w:t>Opportunities</w:t>
      </w:r>
    </w:p>
    <w:p w:rsidR="00AB5AE9" w:rsidRDefault="00AB5AE9" w:rsidP="00F045E0">
      <w:pPr>
        <w:spacing w:before="0"/>
        <w:rPr>
          <w:rFonts w:ascii="Times New Roman" w:hAnsi="Times New Roman" w:cs="Times New Roman"/>
        </w:rPr>
      </w:pPr>
      <w:r>
        <w:rPr>
          <w:rFonts w:ascii="Times New Roman" w:hAnsi="Times New Roman" w:cs="Times New Roman"/>
        </w:rPr>
        <w:t xml:space="preserve">Opportunities for NZE projects can lower the first cost of NZE projects and help them align better with planned facility improvements. </w:t>
      </w:r>
      <w:r w:rsidR="00EC635A">
        <w:rPr>
          <w:rFonts w:ascii="Times New Roman" w:hAnsi="Times New Roman" w:cs="Times New Roman"/>
        </w:rPr>
        <w:t>Many of the prime opportunities for NZE projects are presented as t</w:t>
      </w:r>
      <w:r>
        <w:rPr>
          <w:rFonts w:ascii="Times New Roman" w:hAnsi="Times New Roman" w:cs="Times New Roman"/>
        </w:rPr>
        <w:t xml:space="preserve">riggers </w:t>
      </w:r>
      <w:r w:rsidR="00EC635A">
        <w:rPr>
          <w:rFonts w:ascii="Times New Roman" w:hAnsi="Times New Roman" w:cs="Times New Roman"/>
        </w:rPr>
        <w:t>that occur over the course of a building’s life.</w:t>
      </w:r>
    </w:p>
    <w:p w:rsidR="007453D7" w:rsidRPr="00E159EF" w:rsidRDefault="009F6B94" w:rsidP="00F045E0">
      <w:pPr>
        <w:spacing w:before="0"/>
        <w:rPr>
          <w:rFonts w:ascii="Times New Roman" w:hAnsi="Times New Roman" w:cs="Times New Roman"/>
        </w:rPr>
      </w:pPr>
      <w:r w:rsidRPr="00E159EF">
        <w:rPr>
          <w:rFonts w:ascii="Times New Roman" w:hAnsi="Times New Roman" w:cs="Times New Roman"/>
        </w:rPr>
        <w:t xml:space="preserve">One example of </w:t>
      </w:r>
      <w:r w:rsidR="00AB5AE9">
        <w:rPr>
          <w:rFonts w:ascii="Times New Roman" w:hAnsi="Times New Roman" w:cs="Times New Roman"/>
        </w:rPr>
        <w:t>a trigger</w:t>
      </w:r>
      <w:r w:rsidR="007A4F4F">
        <w:rPr>
          <w:rFonts w:ascii="Times New Roman" w:hAnsi="Times New Roman" w:cs="Times New Roman"/>
        </w:rPr>
        <w:t xml:space="preserve"> </w:t>
      </w:r>
      <w:r w:rsidRPr="00E159EF">
        <w:rPr>
          <w:rFonts w:ascii="Times New Roman" w:hAnsi="Times New Roman" w:cs="Times New Roman"/>
        </w:rPr>
        <w:t>is demonstrated by</w:t>
      </w:r>
      <w:r w:rsidR="007453D7" w:rsidRPr="00E159EF">
        <w:rPr>
          <w:rFonts w:ascii="Times New Roman" w:hAnsi="Times New Roman" w:cs="Times New Roman"/>
        </w:rPr>
        <w:t xml:space="preserve"> the concept of “right-timing” building retrofit projects, so that these projects align with existing plans for invasive and capitally intensive renovation projects. </w:t>
      </w:r>
      <w:r w:rsidRPr="00E159EF">
        <w:rPr>
          <w:rFonts w:ascii="Times New Roman" w:hAnsi="Times New Roman" w:cs="Times New Roman"/>
        </w:rPr>
        <w:t xml:space="preserve">These types of projects could be triggered by renovation plans, equipment nearing the end of its life, or changes to building code. </w:t>
      </w:r>
      <w:r w:rsidR="007453D7" w:rsidRPr="00E159EF">
        <w:rPr>
          <w:rFonts w:ascii="Times New Roman" w:hAnsi="Times New Roman" w:cs="Times New Roman"/>
        </w:rPr>
        <w:t xml:space="preserve">By “right-timing” NZE projects, the incremental costs of building energy upgrades are much less significant than the costs of stand-alone NZE retrofit projects. </w:t>
      </w:r>
    </w:p>
    <w:p w:rsidR="00B55D8C" w:rsidRPr="00E159EF" w:rsidRDefault="00B55D8C" w:rsidP="0095138C">
      <w:pPr>
        <w:rPr>
          <w:rFonts w:ascii="Times New Roman" w:hAnsi="Times New Roman" w:cs="Times New Roman"/>
        </w:rPr>
      </w:pPr>
      <w:r w:rsidRPr="00E159EF">
        <w:rPr>
          <w:rFonts w:ascii="Times New Roman" w:hAnsi="Times New Roman" w:cs="Times New Roman"/>
        </w:rPr>
        <w:t xml:space="preserve">Another trigger could be a local constraint or vulnerability in the local energy supply (such as the electricity grid) where local utilities may encourage special efforts towards NZE </w:t>
      </w:r>
      <w:r w:rsidR="00C45AE0">
        <w:rPr>
          <w:rFonts w:ascii="Times New Roman" w:hAnsi="Times New Roman" w:cs="Times New Roman"/>
        </w:rPr>
        <w:t>b</w:t>
      </w:r>
      <w:r w:rsidR="00C45AE0" w:rsidRPr="00E159EF">
        <w:rPr>
          <w:rFonts w:ascii="Times New Roman" w:hAnsi="Times New Roman" w:cs="Times New Roman"/>
        </w:rPr>
        <w:t xml:space="preserve">uildings </w:t>
      </w:r>
      <w:r w:rsidRPr="00E159EF">
        <w:rPr>
          <w:rFonts w:ascii="Times New Roman" w:hAnsi="Times New Roman" w:cs="Times New Roman"/>
        </w:rPr>
        <w:t xml:space="preserve">and </w:t>
      </w:r>
      <w:r w:rsidR="00C45AE0">
        <w:rPr>
          <w:rFonts w:ascii="Times New Roman" w:hAnsi="Times New Roman" w:cs="Times New Roman"/>
        </w:rPr>
        <w:t>c</w:t>
      </w:r>
      <w:r w:rsidR="00C45AE0" w:rsidRPr="00E159EF">
        <w:rPr>
          <w:rFonts w:ascii="Times New Roman" w:hAnsi="Times New Roman" w:cs="Times New Roman"/>
        </w:rPr>
        <w:t xml:space="preserve">ampuses </w:t>
      </w:r>
      <w:r w:rsidRPr="00E159EF">
        <w:rPr>
          <w:rFonts w:ascii="Times New Roman" w:hAnsi="Times New Roman" w:cs="Times New Roman"/>
        </w:rPr>
        <w:t xml:space="preserve">that help reduce peak and base loads. For example, the State of Connecticut is supporting the development of </w:t>
      </w:r>
      <w:proofErr w:type="spellStart"/>
      <w:r w:rsidRPr="00E159EF">
        <w:rPr>
          <w:rFonts w:ascii="Times New Roman" w:hAnsi="Times New Roman" w:cs="Times New Roman"/>
        </w:rPr>
        <w:t>microgrids</w:t>
      </w:r>
      <w:proofErr w:type="spellEnd"/>
      <w:r w:rsidRPr="00E159EF">
        <w:rPr>
          <w:rFonts w:ascii="Times New Roman" w:hAnsi="Times New Roman" w:cs="Times New Roman"/>
        </w:rPr>
        <w:t xml:space="preserve"> to improve the reliability of the local energy grid</w:t>
      </w:r>
      <w:r w:rsidR="009F6B94" w:rsidRPr="00E159EF">
        <w:rPr>
          <w:rFonts w:ascii="Times New Roman" w:hAnsi="Times New Roman" w:cs="Times New Roman"/>
        </w:rPr>
        <w:t>.</w:t>
      </w:r>
      <w:r w:rsidRPr="00E159EF">
        <w:rPr>
          <w:rFonts w:ascii="Times New Roman" w:hAnsi="Times New Roman" w:cs="Times New Roman"/>
        </w:rPr>
        <w:t xml:space="preserve"> New York and New Jersey have recently established funds to deploy similar approaches across those states, particularly to improve the resilience of critical community facilities.</w:t>
      </w:r>
    </w:p>
    <w:p w:rsidR="009F6B94" w:rsidRPr="00E159EF" w:rsidRDefault="009F6B94" w:rsidP="009F6B94">
      <w:pPr>
        <w:rPr>
          <w:rFonts w:ascii="Times New Roman" w:hAnsi="Times New Roman" w:cs="Times New Roman"/>
        </w:rPr>
      </w:pPr>
      <w:r w:rsidRPr="00E159EF">
        <w:rPr>
          <w:rFonts w:ascii="Times New Roman" w:hAnsi="Times New Roman" w:cs="Times New Roman"/>
        </w:rPr>
        <w:t xml:space="preserve">Other triggers include </w:t>
      </w:r>
      <w:r w:rsidR="00821C2E" w:rsidRPr="00E159EF">
        <w:rPr>
          <w:rFonts w:ascii="Times New Roman" w:hAnsi="Times New Roman" w:cs="Times New Roman"/>
        </w:rPr>
        <w:t xml:space="preserve">recent </w:t>
      </w:r>
      <w:r w:rsidRPr="00E159EF">
        <w:rPr>
          <w:rFonts w:ascii="Times New Roman" w:hAnsi="Times New Roman" w:cs="Times New Roman"/>
        </w:rPr>
        <w:t>acquisition</w:t>
      </w:r>
      <w:r w:rsidR="00821C2E" w:rsidRPr="00E159EF">
        <w:rPr>
          <w:rFonts w:ascii="Times New Roman" w:hAnsi="Times New Roman" w:cs="Times New Roman"/>
        </w:rPr>
        <w:t xml:space="preserve"> of property</w:t>
      </w:r>
      <w:r w:rsidRPr="00E159EF">
        <w:rPr>
          <w:rFonts w:ascii="Times New Roman" w:hAnsi="Times New Roman" w:cs="Times New Roman"/>
        </w:rPr>
        <w:t xml:space="preserve">, refinancing, changing utility rates and rate structures, </w:t>
      </w:r>
      <w:r w:rsidR="00C45AE0">
        <w:rPr>
          <w:rFonts w:ascii="Times New Roman" w:hAnsi="Times New Roman" w:cs="Times New Roman"/>
        </w:rPr>
        <w:t>and</w:t>
      </w:r>
      <w:r w:rsidR="00C45AE0" w:rsidRPr="00E159EF">
        <w:rPr>
          <w:rFonts w:ascii="Times New Roman" w:hAnsi="Times New Roman" w:cs="Times New Roman"/>
        </w:rPr>
        <w:t xml:space="preserve"> </w:t>
      </w:r>
      <w:r w:rsidRPr="00E159EF">
        <w:rPr>
          <w:rFonts w:ascii="Times New Roman" w:hAnsi="Times New Roman" w:cs="Times New Roman"/>
        </w:rPr>
        <w:t>portfolio planning.</w:t>
      </w:r>
    </w:p>
    <w:p w:rsidR="007453D7" w:rsidRPr="00E159EF" w:rsidRDefault="007453D7" w:rsidP="00B74508">
      <w:pPr>
        <w:pStyle w:val="Normal1"/>
        <w:rPr>
          <w:rFonts w:ascii="Times New Roman" w:hAnsi="Times New Roman" w:cs="Times New Roman"/>
          <w:color w:val="auto"/>
        </w:rPr>
      </w:pPr>
    </w:p>
    <w:p w:rsidR="004D79A5" w:rsidRDefault="004D79A5" w:rsidP="00B74508">
      <w:pPr>
        <w:pStyle w:val="Normal1"/>
        <w:rPr>
          <w:rFonts w:ascii="Times New Roman" w:hAnsi="Times New Roman" w:cs="Times New Roman"/>
          <w:b/>
          <w:i/>
          <w:color w:val="auto"/>
        </w:rPr>
      </w:pPr>
    </w:p>
    <w:p w:rsidR="004D79A5" w:rsidRDefault="004D79A5" w:rsidP="00B74508">
      <w:pPr>
        <w:pStyle w:val="Normal1"/>
        <w:rPr>
          <w:rFonts w:ascii="Times New Roman" w:hAnsi="Times New Roman" w:cs="Times New Roman"/>
          <w:b/>
          <w:i/>
          <w:color w:val="auto"/>
        </w:rPr>
      </w:pPr>
    </w:p>
    <w:p w:rsidR="004D79A5" w:rsidRDefault="004D79A5" w:rsidP="00B74508">
      <w:pPr>
        <w:pStyle w:val="Normal1"/>
        <w:rPr>
          <w:rFonts w:ascii="Times New Roman" w:hAnsi="Times New Roman" w:cs="Times New Roman"/>
          <w:b/>
          <w:i/>
          <w:color w:val="auto"/>
        </w:rPr>
      </w:pPr>
    </w:p>
    <w:p w:rsidR="007453D7" w:rsidRPr="004165A4" w:rsidRDefault="004165A4" w:rsidP="00B74508">
      <w:pPr>
        <w:pStyle w:val="Normal1"/>
        <w:rPr>
          <w:rFonts w:ascii="Times New Roman" w:hAnsi="Times New Roman" w:cs="Times New Roman"/>
          <w:b/>
          <w:i/>
          <w:color w:val="auto"/>
        </w:rPr>
      </w:pPr>
      <w:r w:rsidRPr="004165A4">
        <w:rPr>
          <w:rFonts w:ascii="Times New Roman" w:hAnsi="Times New Roman" w:cs="Times New Roman"/>
          <w:b/>
          <w:i/>
          <w:color w:val="auto"/>
        </w:rPr>
        <w:lastRenderedPageBreak/>
        <w:t xml:space="preserve">Section 4.2: </w:t>
      </w:r>
      <w:r w:rsidR="00F6316F" w:rsidRPr="004165A4">
        <w:rPr>
          <w:rFonts w:ascii="Times New Roman" w:hAnsi="Times New Roman" w:cs="Times New Roman"/>
          <w:b/>
          <w:i/>
          <w:color w:val="auto"/>
        </w:rPr>
        <w:t>Tools</w:t>
      </w:r>
    </w:p>
    <w:p w:rsidR="007453D7" w:rsidRPr="00243BF9" w:rsidRDefault="00E41D2A" w:rsidP="00F045E0">
      <w:pPr>
        <w:spacing w:before="0"/>
        <w:rPr>
          <w:rFonts w:ascii="Times New Roman" w:hAnsi="Times New Roman" w:cs="Times New Roman"/>
        </w:rPr>
      </w:pPr>
      <w:r>
        <w:rPr>
          <w:rFonts w:ascii="Times New Roman" w:hAnsi="Times New Roman" w:cs="Times New Roman"/>
        </w:rPr>
        <w:t>Tools to assist the GSA and other federal agencies in executing renewable energy and energy efficiency projects</w:t>
      </w:r>
      <w:r w:rsidRPr="00243BF9">
        <w:rPr>
          <w:rFonts w:ascii="Times New Roman" w:hAnsi="Times New Roman" w:cs="Times New Roman"/>
        </w:rPr>
        <w:t xml:space="preserve"> </w:t>
      </w:r>
      <w:r w:rsidR="00423AE7" w:rsidRPr="00243BF9">
        <w:rPr>
          <w:rFonts w:ascii="Times New Roman" w:hAnsi="Times New Roman" w:cs="Times New Roman"/>
        </w:rPr>
        <w:t xml:space="preserve">include </w:t>
      </w:r>
      <w:r w:rsidR="009E43E9" w:rsidRPr="00243BF9">
        <w:rPr>
          <w:rFonts w:ascii="Times New Roman" w:hAnsi="Times New Roman" w:cs="Times New Roman"/>
        </w:rPr>
        <w:t xml:space="preserve">unique </w:t>
      </w:r>
      <w:r w:rsidR="00423AE7" w:rsidRPr="00243BF9">
        <w:rPr>
          <w:rFonts w:ascii="Times New Roman" w:hAnsi="Times New Roman" w:cs="Times New Roman"/>
        </w:rPr>
        <w:t>financing options, pre-existing agency tools, and</w:t>
      </w:r>
      <w:r w:rsidR="009E43E9" w:rsidRPr="00243BF9">
        <w:rPr>
          <w:rFonts w:ascii="Times New Roman" w:hAnsi="Times New Roman" w:cs="Times New Roman"/>
        </w:rPr>
        <w:t xml:space="preserve"> other strategies that the </w:t>
      </w:r>
      <w:r w:rsidR="00EE065C">
        <w:rPr>
          <w:rFonts w:ascii="Times New Roman" w:hAnsi="Times New Roman" w:cs="Times New Roman"/>
        </w:rPr>
        <w:t>federal</w:t>
      </w:r>
      <w:r w:rsidR="009E43E9" w:rsidRPr="00243BF9">
        <w:rPr>
          <w:rFonts w:ascii="Times New Roman" w:hAnsi="Times New Roman" w:cs="Times New Roman"/>
        </w:rPr>
        <w:t xml:space="preserve"> government may not have considered</w:t>
      </w:r>
      <w:r w:rsidR="00423AE7" w:rsidRPr="00243BF9">
        <w:rPr>
          <w:rFonts w:ascii="Times New Roman" w:hAnsi="Times New Roman" w:cs="Times New Roman"/>
        </w:rPr>
        <w:t xml:space="preserve">. </w:t>
      </w:r>
    </w:p>
    <w:p w:rsidR="00423AE7" w:rsidRPr="00E159EF" w:rsidRDefault="00423AE7" w:rsidP="00243BF9">
      <w:pPr>
        <w:pStyle w:val="Normal1"/>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Energy Savings Perf</w:t>
      </w:r>
      <w:r w:rsidR="00176914" w:rsidRPr="00E159EF">
        <w:rPr>
          <w:rFonts w:ascii="Times New Roman" w:eastAsia="Calibri" w:hAnsi="Times New Roman" w:cs="Times New Roman"/>
          <w:b/>
          <w:color w:val="auto"/>
        </w:rPr>
        <w:t>ormance Contracts</w:t>
      </w:r>
    </w:p>
    <w:p w:rsidR="000671B9" w:rsidRPr="00243BF9" w:rsidRDefault="002971F8" w:rsidP="00243BF9">
      <w:pPr>
        <w:spacing w:before="0"/>
        <w:ind w:left="720"/>
        <w:rPr>
          <w:rFonts w:ascii="Times New Roman" w:hAnsi="Times New Roman" w:cs="Times New Roman"/>
        </w:rPr>
      </w:pPr>
      <w:r>
        <w:rPr>
          <w:rFonts w:ascii="Times New Roman" w:hAnsi="Times New Roman" w:cs="Times New Roman"/>
        </w:rPr>
        <w:t xml:space="preserve">An </w:t>
      </w:r>
      <w:r w:rsidR="00CC5D1D">
        <w:rPr>
          <w:rFonts w:ascii="Times New Roman" w:hAnsi="Times New Roman" w:cs="Times New Roman"/>
        </w:rPr>
        <w:t>e</w:t>
      </w:r>
      <w:r w:rsidR="000671B9" w:rsidRPr="00243BF9">
        <w:rPr>
          <w:rFonts w:ascii="Times New Roman" w:hAnsi="Times New Roman" w:cs="Times New Roman"/>
        </w:rPr>
        <w:t>nergy sav</w:t>
      </w:r>
      <w:r w:rsidR="00CC5D1D">
        <w:rPr>
          <w:rFonts w:ascii="Times New Roman" w:hAnsi="Times New Roman" w:cs="Times New Roman"/>
        </w:rPr>
        <w:t>ings performance contract (ESPC</w:t>
      </w:r>
      <w:r w:rsidR="000671B9" w:rsidRPr="00243BF9">
        <w:rPr>
          <w:rFonts w:ascii="Times New Roman" w:hAnsi="Times New Roman" w:cs="Times New Roman"/>
        </w:rPr>
        <w:t xml:space="preserve">) </w:t>
      </w:r>
      <w:r>
        <w:rPr>
          <w:rFonts w:ascii="Times New Roman" w:hAnsi="Times New Roman" w:cs="Times New Roman"/>
        </w:rPr>
        <w:t>is</w:t>
      </w:r>
      <w:r w:rsidRPr="00243BF9">
        <w:rPr>
          <w:rFonts w:ascii="Times New Roman" w:hAnsi="Times New Roman" w:cs="Times New Roman"/>
        </w:rPr>
        <w:t xml:space="preserve"> </w:t>
      </w:r>
      <w:r w:rsidR="000671B9" w:rsidRPr="00243BF9">
        <w:rPr>
          <w:rFonts w:ascii="Times New Roman" w:hAnsi="Times New Roman" w:cs="Times New Roman"/>
        </w:rPr>
        <w:t>a financing mechanism that help</w:t>
      </w:r>
      <w:r>
        <w:rPr>
          <w:rFonts w:ascii="Times New Roman" w:hAnsi="Times New Roman" w:cs="Times New Roman"/>
        </w:rPr>
        <w:t>s</w:t>
      </w:r>
      <w:r w:rsidR="000671B9" w:rsidRPr="00243BF9">
        <w:rPr>
          <w:rFonts w:ascii="Times New Roman" w:hAnsi="Times New Roman" w:cs="Times New Roman"/>
        </w:rPr>
        <w:t xml:space="preserve"> </w:t>
      </w:r>
      <w:r w:rsidR="00EE065C">
        <w:rPr>
          <w:rFonts w:ascii="Times New Roman" w:hAnsi="Times New Roman" w:cs="Times New Roman"/>
        </w:rPr>
        <w:t>federal</w:t>
      </w:r>
      <w:r w:rsidR="000671B9" w:rsidRPr="00243BF9">
        <w:rPr>
          <w:rFonts w:ascii="Times New Roman" w:hAnsi="Times New Roman" w:cs="Times New Roman"/>
        </w:rPr>
        <w:t xml:space="preserve"> agencies finance energy-savings projects through projected cost savings. The benefits are outlined well in the following text from the DOE</w:t>
      </w:r>
      <w:r w:rsidR="001216BB" w:rsidRPr="00BF5B35">
        <w:rPr>
          <w:vertAlign w:val="superscript"/>
        </w:rPr>
        <w:footnoteReference w:id="1"/>
      </w:r>
      <w:r w:rsidR="000671B9" w:rsidRPr="00243BF9">
        <w:rPr>
          <w:rFonts w:ascii="Times New Roman" w:hAnsi="Times New Roman" w:cs="Times New Roman"/>
        </w:rPr>
        <w:t>:</w:t>
      </w:r>
    </w:p>
    <w:p w:rsidR="00BC111D" w:rsidRPr="00E159EF" w:rsidRDefault="000671B9" w:rsidP="001F688F">
      <w:pPr>
        <w:pStyle w:val="Normal1"/>
        <w:ind w:left="1440"/>
        <w:rPr>
          <w:rFonts w:ascii="Times New Roman" w:eastAsia="Calibri" w:hAnsi="Times New Roman" w:cs="Times New Roman"/>
          <w:i/>
          <w:color w:val="auto"/>
        </w:rPr>
      </w:pPr>
      <w:r w:rsidRPr="00E159EF">
        <w:rPr>
          <w:rFonts w:ascii="Times New Roman" w:eastAsia="Calibri" w:hAnsi="Times New Roman" w:cs="Times New Roman"/>
          <w:i/>
          <w:color w:val="auto"/>
        </w:rPr>
        <w:t>“[ESPCs]</w:t>
      </w:r>
      <w:r w:rsidR="00BC111D" w:rsidRPr="00E159EF">
        <w:rPr>
          <w:rFonts w:ascii="Times New Roman" w:eastAsia="Calibri" w:hAnsi="Times New Roman" w:cs="Times New Roman"/>
          <w:i/>
          <w:color w:val="auto"/>
        </w:rPr>
        <w:t xml:space="preserve"> allow Federal agencies to complete energy-savings projects without up-front capital costs and special Congressional appropriations. </w:t>
      </w:r>
    </w:p>
    <w:p w:rsidR="000671B9" w:rsidRPr="00E159EF" w:rsidRDefault="000671B9" w:rsidP="001F688F">
      <w:pPr>
        <w:pStyle w:val="Normal1"/>
        <w:ind w:left="1440"/>
        <w:rPr>
          <w:rFonts w:ascii="Times New Roman" w:eastAsia="Calibri" w:hAnsi="Times New Roman" w:cs="Times New Roman"/>
          <w:i/>
          <w:color w:val="auto"/>
        </w:rPr>
      </w:pPr>
    </w:p>
    <w:p w:rsidR="00BC111D" w:rsidRPr="00E159EF" w:rsidRDefault="00BC111D" w:rsidP="001F688F">
      <w:pPr>
        <w:pStyle w:val="Normal1"/>
        <w:ind w:left="1440"/>
        <w:rPr>
          <w:rFonts w:ascii="Times New Roman" w:eastAsia="Calibri" w:hAnsi="Times New Roman" w:cs="Times New Roman"/>
          <w:i/>
          <w:color w:val="auto"/>
        </w:rPr>
      </w:pPr>
      <w:r w:rsidRPr="00E159EF">
        <w:rPr>
          <w:rFonts w:ascii="Times New Roman" w:eastAsia="Calibri" w:hAnsi="Times New Roman" w:cs="Times New Roman"/>
          <w:i/>
          <w:color w:val="auto"/>
        </w:rPr>
        <w:t>An ESPC is a partnership between a Federal agency and an energy service company (ESCO). The ESCO conducts a comprehensive energy audit of Federal facilities and identifies improvements to save energy. In consultation with the Federal agency, the ESCO designs and constructs a project that meets the agency's needs and arranges the necessary funding. The ESCO guarantees that the improvements will generate energy cost savings to pay for the project over the term of the contract (up to 25 years). After the contract ends, all additional cost savings accrue to the agency.</w:t>
      </w:r>
      <w:r w:rsidR="000671B9" w:rsidRPr="00E159EF">
        <w:rPr>
          <w:rFonts w:ascii="Times New Roman" w:eastAsia="Calibri" w:hAnsi="Times New Roman" w:cs="Times New Roman"/>
          <w:i/>
          <w:color w:val="auto"/>
        </w:rPr>
        <w:t>”</w:t>
      </w:r>
    </w:p>
    <w:p w:rsidR="00423AE7" w:rsidRPr="00243BF9" w:rsidRDefault="00BC111D" w:rsidP="00243BF9">
      <w:pPr>
        <w:ind w:left="720"/>
        <w:rPr>
          <w:rFonts w:ascii="Times New Roman" w:hAnsi="Times New Roman" w:cs="Times New Roman"/>
        </w:rPr>
      </w:pPr>
      <w:r w:rsidRPr="00243BF9">
        <w:rPr>
          <w:rFonts w:ascii="Times New Roman" w:hAnsi="Times New Roman" w:cs="Times New Roman"/>
        </w:rPr>
        <w:t>The government has its own process for procuring ESPCs with a list of ESCOs</w:t>
      </w:r>
      <w:r w:rsidR="001216BB" w:rsidRPr="00243BF9">
        <w:rPr>
          <w:rFonts w:ascii="Times New Roman" w:hAnsi="Times New Roman" w:cs="Times New Roman"/>
        </w:rPr>
        <w:t xml:space="preserve"> that have been awarded an indefinite delivery, indefinite quantity (IDIQ) contract that allows them to bid on </w:t>
      </w:r>
      <w:r w:rsidR="005F79D0">
        <w:rPr>
          <w:rFonts w:ascii="Times New Roman" w:hAnsi="Times New Roman" w:cs="Times New Roman"/>
        </w:rPr>
        <w:t>federal</w:t>
      </w:r>
      <w:r w:rsidR="001216BB" w:rsidRPr="00243BF9">
        <w:rPr>
          <w:rFonts w:ascii="Times New Roman" w:hAnsi="Times New Roman" w:cs="Times New Roman"/>
        </w:rPr>
        <w:t xml:space="preserve"> work. The GSA and countless other agencies have been using this methodology to finance large energy-saving projects without seeking additional congressional funds or budgetary funds that exceed their expected operating costs under business-as-usual conditions. </w:t>
      </w:r>
    </w:p>
    <w:p w:rsidR="001216BB" w:rsidRPr="00243BF9" w:rsidRDefault="001216BB" w:rsidP="00243BF9">
      <w:pPr>
        <w:ind w:left="720"/>
        <w:rPr>
          <w:rFonts w:ascii="Times New Roman" w:hAnsi="Times New Roman" w:cs="Times New Roman"/>
        </w:rPr>
      </w:pPr>
      <w:r w:rsidRPr="00243BF9">
        <w:rPr>
          <w:rFonts w:ascii="Times New Roman" w:hAnsi="Times New Roman" w:cs="Times New Roman"/>
        </w:rPr>
        <w:t xml:space="preserve">ESPCs can be combined with several of the other solutions listed in this section for increasingly beneficial results. For example, an agency might </w:t>
      </w:r>
      <w:r w:rsidR="00176914" w:rsidRPr="00243BF9">
        <w:rPr>
          <w:rFonts w:ascii="Times New Roman" w:hAnsi="Times New Roman" w:cs="Times New Roman"/>
        </w:rPr>
        <w:t>recognize an</w:t>
      </w:r>
      <w:r w:rsidRPr="00243BF9">
        <w:rPr>
          <w:rFonts w:ascii="Times New Roman" w:hAnsi="Times New Roman" w:cs="Times New Roman"/>
        </w:rPr>
        <w:t xml:space="preserve"> upcoming capital improvement project </w:t>
      </w:r>
      <w:r w:rsidR="00176914" w:rsidRPr="00243BF9">
        <w:rPr>
          <w:rFonts w:ascii="Times New Roman" w:hAnsi="Times New Roman" w:cs="Times New Roman"/>
        </w:rPr>
        <w:t xml:space="preserve">on their agency’s schedule </w:t>
      </w:r>
      <w:r w:rsidRPr="00243BF9">
        <w:rPr>
          <w:rFonts w:ascii="Times New Roman" w:hAnsi="Times New Roman" w:cs="Times New Roman"/>
        </w:rPr>
        <w:t>(e.g., full building renovation, HVAC replacement, or building envelope upgrades)</w:t>
      </w:r>
      <w:r w:rsidR="00176914" w:rsidRPr="00243BF9">
        <w:rPr>
          <w:rFonts w:ascii="Times New Roman" w:hAnsi="Times New Roman" w:cs="Times New Roman"/>
        </w:rPr>
        <w:t xml:space="preserve"> and align that project with the procurement process for an ESPC. Often, capital improvement projects can be planned to be included as part of the ESPC or to work alongside the ESPC, ensuring that all contractors are working together to devise the best solutions. Agency funding can help fund project components that may not fall under a traditional ESPC or can help to shorten the term of the project.</w:t>
      </w:r>
    </w:p>
    <w:p w:rsidR="00423AE7" w:rsidRPr="00243BF9" w:rsidRDefault="00176914" w:rsidP="00243BF9">
      <w:pPr>
        <w:pStyle w:val="Normal10"/>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Power Purchase Agreements</w:t>
      </w:r>
      <w:r w:rsidR="007A4E84" w:rsidRPr="00E159EF">
        <w:rPr>
          <w:rFonts w:ascii="Times New Roman" w:eastAsia="Calibri" w:hAnsi="Times New Roman" w:cs="Times New Roman"/>
          <w:b/>
          <w:color w:val="auto"/>
        </w:rPr>
        <w:t xml:space="preserve"> </w:t>
      </w:r>
    </w:p>
    <w:p w:rsidR="00176914" w:rsidRPr="00243BF9" w:rsidRDefault="00176914" w:rsidP="00243BF9">
      <w:pPr>
        <w:spacing w:before="0"/>
        <w:ind w:left="720"/>
        <w:rPr>
          <w:rFonts w:ascii="Times New Roman" w:hAnsi="Times New Roman" w:cs="Times New Roman"/>
        </w:rPr>
      </w:pPr>
      <w:r w:rsidRPr="00243BF9">
        <w:rPr>
          <w:rFonts w:ascii="Times New Roman" w:hAnsi="Times New Roman" w:cs="Times New Roman"/>
        </w:rPr>
        <w:t xml:space="preserve">A power purchase agreement (PPA) is a common financing mechanism for renewable energy (RE) projects. Within a PPA structure, a </w:t>
      </w:r>
      <w:r w:rsidR="00916C0E" w:rsidRPr="00243BF9">
        <w:rPr>
          <w:rFonts w:ascii="Times New Roman" w:hAnsi="Times New Roman" w:cs="Times New Roman"/>
        </w:rPr>
        <w:t>landowner</w:t>
      </w:r>
      <w:r w:rsidRPr="00243BF9">
        <w:rPr>
          <w:rFonts w:ascii="Times New Roman" w:hAnsi="Times New Roman" w:cs="Times New Roman"/>
        </w:rPr>
        <w:t xml:space="preserve"> grants a</w:t>
      </w:r>
      <w:r w:rsidR="0038471A">
        <w:rPr>
          <w:rFonts w:ascii="Times New Roman" w:hAnsi="Times New Roman" w:cs="Times New Roman"/>
        </w:rPr>
        <w:t>n</w:t>
      </w:r>
      <w:r w:rsidRPr="00243BF9">
        <w:rPr>
          <w:rFonts w:ascii="Times New Roman" w:hAnsi="Times New Roman" w:cs="Times New Roman"/>
        </w:rPr>
        <w:t xml:space="preserve"> RE system developer permission to install, operate, and maintain a</w:t>
      </w:r>
      <w:r w:rsidR="0038471A">
        <w:rPr>
          <w:rFonts w:ascii="Times New Roman" w:hAnsi="Times New Roman" w:cs="Times New Roman"/>
        </w:rPr>
        <w:t>n</w:t>
      </w:r>
      <w:r w:rsidRPr="00243BF9">
        <w:rPr>
          <w:rFonts w:ascii="Times New Roman" w:hAnsi="Times New Roman" w:cs="Times New Roman"/>
        </w:rPr>
        <w:t xml:space="preserve"> RE system on the </w:t>
      </w:r>
      <w:r w:rsidR="00916C0E" w:rsidRPr="00243BF9">
        <w:rPr>
          <w:rFonts w:ascii="Times New Roman" w:hAnsi="Times New Roman" w:cs="Times New Roman"/>
        </w:rPr>
        <w:t>land</w:t>
      </w:r>
      <w:r w:rsidRPr="00243BF9">
        <w:rPr>
          <w:rFonts w:ascii="Times New Roman" w:hAnsi="Times New Roman" w:cs="Times New Roman"/>
        </w:rPr>
        <w:t xml:space="preserve">owner’s property, and to sell power back to the </w:t>
      </w:r>
      <w:r w:rsidR="00916C0E" w:rsidRPr="00243BF9">
        <w:rPr>
          <w:rFonts w:ascii="Times New Roman" w:hAnsi="Times New Roman" w:cs="Times New Roman"/>
        </w:rPr>
        <w:t>landowner</w:t>
      </w:r>
      <w:r w:rsidRPr="00243BF9">
        <w:rPr>
          <w:rFonts w:ascii="Times New Roman" w:hAnsi="Times New Roman" w:cs="Times New Roman"/>
        </w:rPr>
        <w:t xml:space="preserve"> at an agreed upon price and period of time.</w:t>
      </w:r>
      <w:r w:rsidR="00916C0E" w:rsidRPr="00243BF9">
        <w:rPr>
          <w:rFonts w:ascii="Times New Roman" w:hAnsi="Times New Roman" w:cs="Times New Roman"/>
        </w:rPr>
        <w:t xml:space="preserve"> Thus, the landowner receives the benefits of using RE without using the upfront capital to purchase the system or the long-term capital to maintain the system. In many cases, the landowner is also able to purchase RE from the system developer at or below grid parity.</w:t>
      </w:r>
    </w:p>
    <w:p w:rsidR="00907394" w:rsidRPr="00243BF9" w:rsidRDefault="00916C0E" w:rsidP="00243BF9">
      <w:pPr>
        <w:ind w:left="720"/>
        <w:rPr>
          <w:rFonts w:ascii="Times New Roman" w:hAnsi="Times New Roman" w:cs="Times New Roman"/>
        </w:rPr>
      </w:pPr>
      <w:r w:rsidRPr="00243BF9">
        <w:rPr>
          <w:rFonts w:ascii="Times New Roman" w:hAnsi="Times New Roman" w:cs="Times New Roman"/>
        </w:rPr>
        <w:lastRenderedPageBreak/>
        <w:t xml:space="preserve">While PPAs are a common financing solution for solar PV projects, there are several </w:t>
      </w:r>
      <w:r w:rsidR="005F79D0">
        <w:rPr>
          <w:rFonts w:ascii="Times New Roman" w:hAnsi="Times New Roman" w:cs="Times New Roman"/>
        </w:rPr>
        <w:t>federal</w:t>
      </w:r>
      <w:r w:rsidRPr="00243BF9">
        <w:rPr>
          <w:rFonts w:ascii="Times New Roman" w:hAnsi="Times New Roman" w:cs="Times New Roman"/>
        </w:rPr>
        <w:t xml:space="preserve"> policies </w:t>
      </w:r>
      <w:r w:rsidR="009A4B42">
        <w:rPr>
          <w:rFonts w:ascii="Times New Roman" w:hAnsi="Times New Roman" w:cs="Times New Roman"/>
        </w:rPr>
        <w:t>that</w:t>
      </w:r>
      <w:r w:rsidR="009A4B42" w:rsidRPr="00243BF9">
        <w:rPr>
          <w:rFonts w:ascii="Times New Roman" w:hAnsi="Times New Roman" w:cs="Times New Roman"/>
        </w:rPr>
        <w:t xml:space="preserve"> </w:t>
      </w:r>
      <w:r w:rsidRPr="00243BF9">
        <w:rPr>
          <w:rFonts w:ascii="Times New Roman" w:hAnsi="Times New Roman" w:cs="Times New Roman"/>
        </w:rPr>
        <w:t>make the use of PPAs challenging for civilian agencies. Currently, electricity contracts for these agencies are limited to 10 years or less, with only a few exceptions. This prevents many PPAs from being viabl</w:t>
      </w:r>
      <w:r w:rsidR="00907394" w:rsidRPr="00243BF9">
        <w:rPr>
          <w:rFonts w:ascii="Times New Roman" w:hAnsi="Times New Roman" w:cs="Times New Roman"/>
        </w:rPr>
        <w:t>e, as their amortization periods are</w:t>
      </w:r>
      <w:r w:rsidR="0072342E" w:rsidRPr="00243BF9">
        <w:rPr>
          <w:rFonts w:ascii="Times New Roman" w:hAnsi="Times New Roman" w:cs="Times New Roman"/>
        </w:rPr>
        <w:t xml:space="preserve"> typically longer than 10 years, so system developers would not typically recover their costs in less than 10 years.</w:t>
      </w:r>
    </w:p>
    <w:p w:rsidR="00907394" w:rsidRPr="00243BF9" w:rsidRDefault="00907394" w:rsidP="00243BF9">
      <w:pPr>
        <w:ind w:left="720"/>
        <w:rPr>
          <w:rFonts w:ascii="Times New Roman" w:hAnsi="Times New Roman" w:cs="Times New Roman"/>
        </w:rPr>
      </w:pPr>
      <w:r w:rsidRPr="00243BF9">
        <w:rPr>
          <w:rFonts w:ascii="Times New Roman" w:hAnsi="Times New Roman" w:cs="Times New Roman"/>
        </w:rPr>
        <w:t xml:space="preserve">Additionally, recent OMB guidance requires that equipment ownership transfer to the </w:t>
      </w:r>
      <w:r w:rsidR="00517087">
        <w:rPr>
          <w:rFonts w:ascii="Times New Roman" w:hAnsi="Times New Roman" w:cs="Times New Roman"/>
        </w:rPr>
        <w:t>government</w:t>
      </w:r>
      <w:r w:rsidRPr="00243BF9">
        <w:rPr>
          <w:rFonts w:ascii="Times New Roman" w:hAnsi="Times New Roman" w:cs="Times New Roman"/>
        </w:rPr>
        <w:t xml:space="preserve"> at the end of a PPA. This requirement prevents system developers from claiming RE tax credits, further increasing </w:t>
      </w:r>
      <w:r w:rsidR="00D93742" w:rsidRPr="00243BF9">
        <w:rPr>
          <w:rFonts w:ascii="Times New Roman" w:hAnsi="Times New Roman" w:cs="Times New Roman"/>
        </w:rPr>
        <w:t>contract</w:t>
      </w:r>
      <w:r w:rsidRPr="00243BF9">
        <w:rPr>
          <w:rFonts w:ascii="Times New Roman" w:hAnsi="Times New Roman" w:cs="Times New Roman"/>
        </w:rPr>
        <w:t xml:space="preserve"> amortization periods and making PPAs less financially attractive.</w:t>
      </w:r>
    </w:p>
    <w:p w:rsidR="00907394" w:rsidRPr="00243BF9" w:rsidRDefault="00907394" w:rsidP="00243BF9">
      <w:pPr>
        <w:ind w:left="720"/>
        <w:rPr>
          <w:rFonts w:ascii="Times New Roman" w:hAnsi="Times New Roman" w:cs="Times New Roman"/>
        </w:rPr>
      </w:pPr>
      <w:r w:rsidRPr="00243BF9">
        <w:rPr>
          <w:rFonts w:ascii="Times New Roman" w:hAnsi="Times New Roman" w:cs="Times New Roman"/>
        </w:rPr>
        <w:t xml:space="preserve">With these issues and others, </w:t>
      </w:r>
      <w:r w:rsidR="005F79D0">
        <w:rPr>
          <w:rFonts w:ascii="Times New Roman" w:hAnsi="Times New Roman" w:cs="Times New Roman"/>
        </w:rPr>
        <w:t>federal</w:t>
      </w:r>
      <w:r w:rsidRPr="00243BF9">
        <w:rPr>
          <w:rFonts w:ascii="Times New Roman" w:hAnsi="Times New Roman" w:cs="Times New Roman"/>
        </w:rPr>
        <w:t xml:space="preserve"> agencies will have difficulty reaching the </w:t>
      </w:r>
      <w:r w:rsidR="005F79D0">
        <w:rPr>
          <w:rFonts w:ascii="Times New Roman" w:hAnsi="Times New Roman" w:cs="Times New Roman"/>
        </w:rPr>
        <w:t>federal</w:t>
      </w:r>
      <w:r w:rsidRPr="00243BF9">
        <w:rPr>
          <w:rFonts w:ascii="Times New Roman" w:hAnsi="Times New Roman" w:cs="Times New Roman"/>
        </w:rPr>
        <w:t xml:space="preserve"> RE purchasing goals described in the Pre</w:t>
      </w:r>
      <w:r w:rsidR="009E43E9" w:rsidRPr="00243BF9">
        <w:rPr>
          <w:rFonts w:ascii="Times New Roman" w:hAnsi="Times New Roman" w:cs="Times New Roman"/>
        </w:rPr>
        <w:t>sidential</w:t>
      </w:r>
      <w:r w:rsidR="0028796C" w:rsidRPr="00243BF9">
        <w:rPr>
          <w:rFonts w:ascii="Times New Roman" w:hAnsi="Times New Roman" w:cs="Times New Roman"/>
        </w:rPr>
        <w:t xml:space="preserve"> </w:t>
      </w:r>
      <w:r w:rsidR="009E43E9" w:rsidRPr="00243BF9">
        <w:rPr>
          <w:rFonts w:ascii="Times New Roman" w:hAnsi="Times New Roman" w:cs="Times New Roman"/>
        </w:rPr>
        <w:t>Memo</w:t>
      </w:r>
      <w:r w:rsidR="0028796C" w:rsidRPr="00243BF9">
        <w:rPr>
          <w:rFonts w:ascii="Times New Roman" w:hAnsi="Times New Roman" w:cs="Times New Roman"/>
        </w:rPr>
        <w:t xml:space="preserve"> </w:t>
      </w:r>
      <w:r w:rsidR="009E43E9" w:rsidRPr="00243BF9">
        <w:rPr>
          <w:rFonts w:ascii="Times New Roman" w:hAnsi="Times New Roman" w:cs="Times New Roman"/>
        </w:rPr>
        <w:t>of December</w:t>
      </w:r>
      <w:r w:rsidR="00CC5D1D">
        <w:rPr>
          <w:rFonts w:ascii="Times New Roman" w:hAnsi="Times New Roman" w:cs="Times New Roman"/>
        </w:rPr>
        <w:t xml:space="preserve"> 5,</w:t>
      </w:r>
      <w:r w:rsidR="00612075">
        <w:rPr>
          <w:rFonts w:ascii="Times New Roman" w:hAnsi="Times New Roman" w:cs="Times New Roman"/>
        </w:rPr>
        <w:t xml:space="preserve"> 2013</w:t>
      </w:r>
      <w:r w:rsidR="00612075">
        <w:rPr>
          <w:rStyle w:val="FootnoteReference"/>
          <w:rFonts w:ascii="Times New Roman" w:hAnsi="Times New Roman" w:cs="Times New Roman"/>
        </w:rPr>
        <w:footnoteReference w:id="2"/>
      </w:r>
      <w:r w:rsidR="009E43E9" w:rsidRPr="00243BF9">
        <w:rPr>
          <w:rFonts w:ascii="Times New Roman" w:hAnsi="Times New Roman" w:cs="Times New Roman"/>
        </w:rPr>
        <w:t>, which states that</w:t>
      </w:r>
      <w:r w:rsidRPr="00243BF9">
        <w:rPr>
          <w:rFonts w:ascii="Times New Roman" w:hAnsi="Times New Roman" w:cs="Times New Roman"/>
        </w:rPr>
        <w:t xml:space="preserve"> 20% of </w:t>
      </w:r>
      <w:r w:rsidR="005F79D0">
        <w:rPr>
          <w:rFonts w:ascii="Times New Roman" w:hAnsi="Times New Roman" w:cs="Times New Roman"/>
        </w:rPr>
        <w:t>federal</w:t>
      </w:r>
      <w:r w:rsidR="009E43E9" w:rsidRPr="00243BF9">
        <w:rPr>
          <w:rFonts w:ascii="Times New Roman" w:hAnsi="Times New Roman" w:cs="Times New Roman"/>
        </w:rPr>
        <w:t xml:space="preserve"> </w:t>
      </w:r>
      <w:r w:rsidRPr="00243BF9">
        <w:rPr>
          <w:rFonts w:ascii="Times New Roman" w:hAnsi="Times New Roman" w:cs="Times New Roman"/>
        </w:rPr>
        <w:t xml:space="preserve">electricity purchases should </w:t>
      </w:r>
      <w:r w:rsidR="009E43E9" w:rsidRPr="00243BF9">
        <w:rPr>
          <w:rFonts w:ascii="Times New Roman" w:hAnsi="Times New Roman" w:cs="Times New Roman"/>
        </w:rPr>
        <w:t>come from renewable energy</w:t>
      </w:r>
      <w:r w:rsidRPr="00243BF9">
        <w:rPr>
          <w:rFonts w:ascii="Times New Roman" w:hAnsi="Times New Roman" w:cs="Times New Roman"/>
        </w:rPr>
        <w:t xml:space="preserve"> by 2020.</w:t>
      </w:r>
    </w:p>
    <w:p w:rsidR="00916C0E" w:rsidRPr="00243BF9" w:rsidRDefault="00907394" w:rsidP="00243BF9">
      <w:pPr>
        <w:ind w:left="720"/>
        <w:rPr>
          <w:rFonts w:ascii="Times New Roman" w:hAnsi="Times New Roman" w:cs="Times New Roman"/>
        </w:rPr>
      </w:pPr>
      <w:r w:rsidRPr="00243BF9">
        <w:rPr>
          <w:rFonts w:ascii="Times New Roman" w:hAnsi="Times New Roman" w:cs="Times New Roman"/>
        </w:rPr>
        <w:t xml:space="preserve">In order to help the GSA and other agencies meet these goals, the committee recommends that the </w:t>
      </w:r>
      <w:r w:rsidR="005F79D0">
        <w:rPr>
          <w:rFonts w:ascii="Times New Roman" w:hAnsi="Times New Roman" w:cs="Times New Roman"/>
        </w:rPr>
        <w:t>federal</w:t>
      </w:r>
      <w:r w:rsidRPr="00243BF9">
        <w:rPr>
          <w:rFonts w:ascii="Times New Roman" w:hAnsi="Times New Roman" w:cs="Times New Roman"/>
        </w:rPr>
        <w:t xml:space="preserve"> government allow civilian agencies to sign extended PPA contracts </w:t>
      </w:r>
      <w:r w:rsidR="00FD6C4D">
        <w:rPr>
          <w:rFonts w:ascii="Times New Roman" w:hAnsi="Times New Roman" w:cs="Times New Roman"/>
        </w:rPr>
        <w:t xml:space="preserve">and </w:t>
      </w:r>
      <w:r w:rsidR="002B70BA">
        <w:rPr>
          <w:rFonts w:ascii="Times New Roman" w:hAnsi="Times New Roman" w:cs="Times New Roman"/>
        </w:rPr>
        <w:t xml:space="preserve">allow agencies to </w:t>
      </w:r>
      <w:r w:rsidR="00FD6C4D">
        <w:rPr>
          <w:rFonts w:ascii="Times New Roman" w:hAnsi="Times New Roman" w:cs="Times New Roman"/>
        </w:rPr>
        <w:t xml:space="preserve">forfeit ownership of the equipment at the end of PPA contracts. </w:t>
      </w:r>
      <w:r w:rsidRPr="00243BF9">
        <w:rPr>
          <w:rFonts w:ascii="Times New Roman" w:hAnsi="Times New Roman" w:cs="Times New Roman"/>
        </w:rPr>
        <w:t xml:space="preserve">Furthermore, the </w:t>
      </w:r>
      <w:r w:rsidR="005F79D0">
        <w:rPr>
          <w:rFonts w:ascii="Times New Roman" w:hAnsi="Times New Roman" w:cs="Times New Roman"/>
        </w:rPr>
        <w:t>federal</w:t>
      </w:r>
      <w:r w:rsidRPr="00243BF9">
        <w:rPr>
          <w:rFonts w:ascii="Times New Roman" w:hAnsi="Times New Roman" w:cs="Times New Roman"/>
        </w:rPr>
        <w:t xml:space="preserve"> government should be actionable in identifying and resolving any other impediments to using PPAs and other alternative financing mechanisms for </w:t>
      </w:r>
      <w:r w:rsidR="005F79D0">
        <w:rPr>
          <w:rFonts w:ascii="Times New Roman" w:hAnsi="Times New Roman" w:cs="Times New Roman"/>
        </w:rPr>
        <w:t>federal</w:t>
      </w:r>
      <w:r w:rsidRPr="00243BF9">
        <w:rPr>
          <w:rFonts w:ascii="Times New Roman" w:hAnsi="Times New Roman" w:cs="Times New Roman"/>
        </w:rPr>
        <w:t xml:space="preserve"> projects.</w:t>
      </w:r>
    </w:p>
    <w:p w:rsidR="00B55D8C" w:rsidRPr="00E159EF" w:rsidRDefault="001A6EAF" w:rsidP="00243BF9">
      <w:pPr>
        <w:pStyle w:val="Normal10"/>
        <w:spacing w:before="120"/>
        <w:ind w:firstLine="720"/>
        <w:rPr>
          <w:rFonts w:ascii="Times New Roman" w:eastAsia="Calibri" w:hAnsi="Times New Roman" w:cs="Times New Roman"/>
          <w:b/>
          <w:color w:val="auto"/>
        </w:rPr>
      </w:pPr>
      <w:r>
        <w:rPr>
          <w:rFonts w:ascii="Times New Roman" w:eastAsia="Calibri" w:hAnsi="Times New Roman" w:cs="Times New Roman"/>
          <w:b/>
          <w:color w:val="auto"/>
        </w:rPr>
        <w:t>Life-Cycle Cost Analysis</w:t>
      </w:r>
    </w:p>
    <w:p w:rsidR="00B55D8C" w:rsidRPr="00243BF9" w:rsidRDefault="00B55D8C" w:rsidP="00243BF9">
      <w:pPr>
        <w:spacing w:before="0"/>
        <w:ind w:left="720"/>
        <w:rPr>
          <w:rFonts w:ascii="Times New Roman" w:hAnsi="Times New Roman" w:cs="Times New Roman"/>
        </w:rPr>
      </w:pPr>
      <w:r w:rsidRPr="00243BF9">
        <w:rPr>
          <w:rFonts w:ascii="Times New Roman" w:hAnsi="Times New Roman" w:cs="Times New Roman"/>
        </w:rPr>
        <w:t>The recent report b</w:t>
      </w:r>
      <w:r w:rsidR="00612075">
        <w:rPr>
          <w:rFonts w:ascii="Times New Roman" w:hAnsi="Times New Roman" w:cs="Times New Roman"/>
        </w:rPr>
        <w:t>y the National Research Council</w:t>
      </w:r>
      <w:r w:rsidR="00612075">
        <w:rPr>
          <w:rStyle w:val="FootnoteReference"/>
          <w:rFonts w:ascii="Times New Roman" w:hAnsi="Times New Roman" w:cs="Times New Roman"/>
        </w:rPr>
        <w:footnoteReference w:id="3"/>
      </w:r>
      <w:r w:rsidR="00BB0350" w:rsidRPr="00243BF9">
        <w:rPr>
          <w:rFonts w:ascii="Times New Roman" w:hAnsi="Times New Roman" w:cs="Times New Roman"/>
        </w:rPr>
        <w:t xml:space="preserve"> </w:t>
      </w:r>
      <w:r w:rsidRPr="00243BF9">
        <w:rPr>
          <w:rFonts w:ascii="Times New Roman" w:hAnsi="Times New Roman" w:cs="Times New Roman"/>
        </w:rPr>
        <w:t>concluded that “the additional incremental costs to design and construct high-performance or green buildings are relatively small when compared to total life-cycle costs” (p. 6) and recommended “investment approaches that analyze the total cost of ownership, a full range of benefits and costs, and uncertain future conditions as part of the decision-making process” (p. 77). As the cost of energy increases (particularly in specific locations or conditions) and as the cost of energy efficiency and renewable energy alternatives decline, NZE projects will be more likely to be economically efficient.</w:t>
      </w:r>
    </w:p>
    <w:p w:rsidR="00423AE7" w:rsidRPr="00243BF9" w:rsidRDefault="00423AE7" w:rsidP="00243BF9">
      <w:pPr>
        <w:pStyle w:val="Normal10"/>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Revolving Green Funds</w:t>
      </w:r>
    </w:p>
    <w:p w:rsidR="00423AE7" w:rsidRPr="00243BF9" w:rsidRDefault="00423AE7" w:rsidP="00243BF9">
      <w:pPr>
        <w:spacing w:before="0"/>
        <w:ind w:left="720"/>
        <w:rPr>
          <w:rFonts w:ascii="Times New Roman" w:hAnsi="Times New Roman" w:cs="Times New Roman"/>
        </w:rPr>
      </w:pPr>
      <w:r w:rsidRPr="00243BF9">
        <w:rPr>
          <w:rFonts w:ascii="Times New Roman" w:hAnsi="Times New Roman" w:cs="Times New Roman"/>
        </w:rPr>
        <w:t>The Energy Policy Act of 2005 (</w:t>
      </w:r>
      <w:proofErr w:type="spellStart"/>
      <w:r w:rsidRPr="00243BF9">
        <w:rPr>
          <w:rFonts w:ascii="Times New Roman" w:hAnsi="Times New Roman" w:cs="Times New Roman"/>
        </w:rPr>
        <w:t>EPAct</w:t>
      </w:r>
      <w:proofErr w:type="spellEnd"/>
      <w:r w:rsidRPr="00243BF9">
        <w:rPr>
          <w:rFonts w:ascii="Times New Roman" w:hAnsi="Times New Roman" w:cs="Times New Roman"/>
        </w:rPr>
        <w:t xml:space="preserve"> 2005) and the Energy Independence and Security Act of 2007 (EISA 2007) include provisions and mechanisms that allow federal agencies to create revolving funds for facility investment projects (renovation, rehabilitation, and new construction) to meet the federal facility performance objectives. The revolving fund for facility improvement or replacement is financed through the cost savings obtained through facility upgrades. The revolving fund can provide significant additional financing for agency projects in addition to annual budget allocations from Congress.</w:t>
      </w:r>
    </w:p>
    <w:p w:rsidR="00423AE7" w:rsidRPr="00243BF9" w:rsidRDefault="00423AE7" w:rsidP="00243BF9">
      <w:pPr>
        <w:ind w:left="720"/>
        <w:rPr>
          <w:rFonts w:ascii="Times New Roman" w:hAnsi="Times New Roman" w:cs="Times New Roman"/>
        </w:rPr>
      </w:pPr>
      <w:r w:rsidRPr="00243BF9">
        <w:rPr>
          <w:rFonts w:ascii="Times New Roman" w:hAnsi="Times New Roman" w:cs="Times New Roman"/>
        </w:rPr>
        <w:t xml:space="preserve"> The effective use of revolving funds requires verification, analysis, and documentation of cost savings from facility and portfolio improvements, which can be facilitated with the recent installation of monitoring equipment (as required by legislative mandates, and accomplished </w:t>
      </w:r>
      <w:r w:rsidRPr="00243BF9">
        <w:rPr>
          <w:rFonts w:ascii="Times New Roman" w:hAnsi="Times New Roman" w:cs="Times New Roman"/>
        </w:rPr>
        <w:lastRenderedPageBreak/>
        <w:t>across all federal real property assets as of 2012).</w:t>
      </w:r>
      <w:r w:rsidR="001A6EAF">
        <w:rPr>
          <w:rFonts w:ascii="Times New Roman" w:hAnsi="Times New Roman" w:cs="Times New Roman"/>
        </w:rPr>
        <w:t xml:space="preserve"> </w:t>
      </w:r>
      <w:r w:rsidRPr="00243BF9">
        <w:rPr>
          <w:rFonts w:ascii="Times New Roman" w:hAnsi="Times New Roman" w:cs="Times New Roman"/>
        </w:rPr>
        <w:t>As noted in a report by the National Research Council</w:t>
      </w:r>
      <w:r w:rsidR="00A1286C">
        <w:rPr>
          <w:rStyle w:val="FootnoteReference"/>
          <w:rFonts w:ascii="Times New Roman" w:hAnsi="Times New Roman" w:cs="Times New Roman"/>
        </w:rPr>
        <w:footnoteReference w:id="4"/>
      </w:r>
      <w:r w:rsidRPr="00243BF9">
        <w:rPr>
          <w:rFonts w:ascii="Times New Roman" w:hAnsi="Times New Roman" w:cs="Times New Roman"/>
        </w:rPr>
        <w:t xml:space="preserve"> (</w:t>
      </w:r>
      <w:r w:rsidR="00CC5D1D">
        <w:rPr>
          <w:rFonts w:ascii="Times New Roman" w:hAnsi="Times New Roman" w:cs="Times New Roman"/>
        </w:rPr>
        <w:t>p. 65</w:t>
      </w:r>
      <w:r w:rsidRPr="00243BF9">
        <w:rPr>
          <w:rFonts w:ascii="Times New Roman" w:hAnsi="Times New Roman" w:cs="Times New Roman"/>
        </w:rPr>
        <w:t>):</w:t>
      </w:r>
    </w:p>
    <w:p w:rsidR="00423AE7" w:rsidRPr="00E159EF" w:rsidRDefault="00423AE7" w:rsidP="00B74508">
      <w:pPr>
        <w:pStyle w:val="Normal1"/>
        <w:ind w:left="1440"/>
        <w:rPr>
          <w:rFonts w:ascii="Times New Roman" w:eastAsia="Calibri" w:hAnsi="Times New Roman" w:cs="Times New Roman"/>
          <w:color w:val="auto"/>
        </w:rPr>
      </w:pPr>
      <w:r w:rsidRPr="00E159EF">
        <w:rPr>
          <w:rFonts w:ascii="Times New Roman" w:eastAsia="Calibri" w:hAnsi="Times New Roman" w:cs="Times New Roman"/>
          <w:color w:val="auto"/>
        </w:rPr>
        <w:t>“Revolving funds …would allow facility program managers to consider the full costs and benefits of proposed actions and to make up-front investments that could have long-term paybacks in operating efficiencies. Revolving funds could be used to reduce the backlog of maintenance and repairs, fund major repairs and replacements, or pay for unfu</w:t>
      </w:r>
      <w:r w:rsidR="00CC5D1D">
        <w:rPr>
          <w:rFonts w:ascii="Times New Roman" w:eastAsia="Calibri" w:hAnsi="Times New Roman" w:cs="Times New Roman"/>
          <w:color w:val="auto"/>
        </w:rPr>
        <w:t>nded legislative requirements.”</w:t>
      </w:r>
    </w:p>
    <w:p w:rsidR="00423AE7" w:rsidRPr="00472930" w:rsidRDefault="00423AE7" w:rsidP="00243BF9">
      <w:pPr>
        <w:pStyle w:val="Normal10"/>
        <w:spacing w:before="120"/>
        <w:ind w:firstLine="720"/>
        <w:rPr>
          <w:rFonts w:ascii="Times New Roman" w:eastAsia="Calibri" w:hAnsi="Times New Roman" w:cs="Times New Roman"/>
          <w:b/>
          <w:color w:val="auto"/>
        </w:rPr>
      </w:pPr>
      <w:r w:rsidRPr="00472930">
        <w:rPr>
          <w:rFonts w:ascii="Times New Roman" w:eastAsia="Calibri" w:hAnsi="Times New Roman" w:cs="Times New Roman"/>
          <w:b/>
          <w:color w:val="auto"/>
        </w:rPr>
        <w:t xml:space="preserve">Renewable Energy </w:t>
      </w:r>
      <w:r w:rsidR="00BF5B35" w:rsidRPr="00472930">
        <w:rPr>
          <w:rFonts w:ascii="Times New Roman" w:eastAsia="Calibri" w:hAnsi="Times New Roman" w:cs="Times New Roman"/>
          <w:b/>
          <w:color w:val="auto"/>
        </w:rPr>
        <w:t xml:space="preserve">Certificates </w:t>
      </w:r>
      <w:r w:rsidRPr="00472930">
        <w:rPr>
          <w:rFonts w:ascii="Times New Roman" w:eastAsia="Calibri" w:hAnsi="Times New Roman" w:cs="Times New Roman"/>
          <w:b/>
          <w:color w:val="auto"/>
        </w:rPr>
        <w:t xml:space="preserve">(RECs) </w:t>
      </w:r>
    </w:p>
    <w:p w:rsidR="00BF5B35" w:rsidRDefault="00BF5B35" w:rsidP="00472930">
      <w:pPr>
        <w:ind w:left="720"/>
        <w:rPr>
          <w:rFonts w:ascii="Times New Roman" w:hAnsi="Times New Roman" w:cs="Times New Roman"/>
        </w:rPr>
      </w:pPr>
      <w:r w:rsidRPr="00472930">
        <w:rPr>
          <w:rFonts w:ascii="Times New Roman" w:hAnsi="Times New Roman" w:cs="Times New Roman"/>
        </w:rPr>
        <w:t xml:space="preserve">Renewable energy certificates </w:t>
      </w:r>
      <w:r>
        <w:rPr>
          <w:rFonts w:ascii="Times New Roman" w:hAnsi="Times New Roman" w:cs="Times New Roman"/>
        </w:rPr>
        <w:t>(RECs) provide the government with a strategy to reach NZE without installing renewable energy systems on their property. According to the EPA</w:t>
      </w:r>
      <w:r>
        <w:rPr>
          <w:rStyle w:val="FootnoteReference"/>
          <w:rFonts w:ascii="Times New Roman" w:hAnsi="Times New Roman" w:cs="Times New Roman"/>
        </w:rPr>
        <w:footnoteReference w:id="5"/>
      </w:r>
      <w:r>
        <w:rPr>
          <w:rFonts w:ascii="Times New Roman" w:hAnsi="Times New Roman" w:cs="Times New Roman"/>
        </w:rPr>
        <w:t>:</w:t>
      </w:r>
    </w:p>
    <w:p w:rsidR="00BF5B35" w:rsidRPr="00472930" w:rsidRDefault="00BF5B35" w:rsidP="00472930">
      <w:pPr>
        <w:pStyle w:val="Normal10"/>
        <w:ind w:left="1440"/>
        <w:rPr>
          <w:rFonts w:ascii="Times New Roman" w:eastAsia="Calibri" w:hAnsi="Times New Roman" w:cs="Times New Roman"/>
          <w:i/>
          <w:color w:val="auto"/>
        </w:rPr>
      </w:pPr>
      <w:r>
        <w:rPr>
          <w:rFonts w:ascii="Times New Roman" w:eastAsia="Calibri" w:hAnsi="Times New Roman" w:cs="Times New Roman"/>
          <w:i/>
          <w:color w:val="auto"/>
        </w:rPr>
        <w:t xml:space="preserve">“A REC </w:t>
      </w:r>
      <w:r w:rsidRPr="00472930">
        <w:rPr>
          <w:rFonts w:ascii="Times New Roman" w:eastAsia="Calibri" w:hAnsi="Times New Roman" w:cs="Times New Roman"/>
          <w:i/>
          <w:color w:val="auto"/>
        </w:rPr>
        <w:t xml:space="preserve">represents the property rights to the environmental, social, and other </w:t>
      </w:r>
      <w:proofErr w:type="spellStart"/>
      <w:r w:rsidRPr="00472930">
        <w:rPr>
          <w:rFonts w:ascii="Times New Roman" w:eastAsia="Calibri" w:hAnsi="Times New Roman" w:cs="Times New Roman"/>
          <w:i/>
          <w:color w:val="auto"/>
        </w:rPr>
        <w:t>nonpower</w:t>
      </w:r>
      <w:proofErr w:type="spellEnd"/>
      <w:r w:rsidRPr="00472930">
        <w:rPr>
          <w:rFonts w:ascii="Times New Roman" w:eastAsia="Calibri" w:hAnsi="Times New Roman" w:cs="Times New Roman"/>
          <w:i/>
          <w:color w:val="auto"/>
        </w:rPr>
        <w:t xml:space="preserve"> qualities of renewable electricity generation. A REC, and its associated attributes and benefits, can be sold separately from the underlying physical electricity associated with a renewable-based generation source.</w:t>
      </w:r>
      <w:r>
        <w:rPr>
          <w:rFonts w:ascii="Times New Roman" w:eastAsia="Calibri" w:hAnsi="Times New Roman" w:cs="Times New Roman"/>
          <w:i/>
          <w:color w:val="auto"/>
        </w:rPr>
        <w:t>”</w:t>
      </w:r>
    </w:p>
    <w:p w:rsidR="00BF5B35" w:rsidRDefault="00BF5B35" w:rsidP="00472930">
      <w:pPr>
        <w:ind w:left="720"/>
        <w:rPr>
          <w:rFonts w:ascii="Times New Roman" w:hAnsi="Times New Roman" w:cs="Times New Roman"/>
        </w:rPr>
      </w:pPr>
      <w:r>
        <w:rPr>
          <w:rFonts w:ascii="Times New Roman" w:hAnsi="Times New Roman" w:cs="Times New Roman"/>
        </w:rPr>
        <w:t>To ensure the validity and reliability of RECs, agencies must use 3</w:t>
      </w:r>
      <w:r w:rsidRPr="00472930">
        <w:rPr>
          <w:rFonts w:ascii="Times New Roman" w:hAnsi="Times New Roman" w:cs="Times New Roman"/>
          <w:vertAlign w:val="superscript"/>
        </w:rPr>
        <w:t>rd</w:t>
      </w:r>
      <w:r>
        <w:rPr>
          <w:rFonts w:ascii="Times New Roman" w:hAnsi="Times New Roman" w:cs="Times New Roman"/>
        </w:rPr>
        <w:t xml:space="preserve"> party REC verification. Verification, in combination with </w:t>
      </w:r>
      <w:r w:rsidR="00AF63F4">
        <w:rPr>
          <w:rFonts w:ascii="Times New Roman" w:hAnsi="Times New Roman" w:cs="Times New Roman"/>
        </w:rPr>
        <w:t>tracking and reporting, will</w:t>
      </w:r>
      <w:r>
        <w:rPr>
          <w:rFonts w:ascii="Times New Roman" w:hAnsi="Times New Roman" w:cs="Times New Roman"/>
        </w:rPr>
        <w:t xml:space="preserve"> ensure </w:t>
      </w:r>
      <w:r w:rsidR="00AF63F4">
        <w:rPr>
          <w:rFonts w:ascii="Times New Roman" w:hAnsi="Times New Roman" w:cs="Times New Roman"/>
        </w:rPr>
        <w:t xml:space="preserve">transparency and accountability for meeting NZE targets. In addition to being verified, RECs must be held for a long enough period of </w:t>
      </w:r>
      <w:r w:rsidR="00EF20E2">
        <w:rPr>
          <w:rFonts w:ascii="Times New Roman" w:hAnsi="Times New Roman" w:cs="Times New Roman"/>
        </w:rPr>
        <w:t xml:space="preserve">time </w:t>
      </w:r>
      <w:r w:rsidR="00472930">
        <w:rPr>
          <w:rFonts w:ascii="Times New Roman" w:hAnsi="Times New Roman" w:cs="Times New Roman"/>
        </w:rPr>
        <w:t xml:space="preserve">to ensure that the applicable federal building(s) are consistently REC-NZE. If there are any impediments to REC verification or to holding RECs for </w:t>
      </w:r>
      <w:r w:rsidR="004165A4">
        <w:rPr>
          <w:rFonts w:ascii="Times New Roman" w:hAnsi="Times New Roman" w:cs="Times New Roman"/>
        </w:rPr>
        <w:t>sufficient</w:t>
      </w:r>
      <w:r w:rsidR="00472930">
        <w:rPr>
          <w:rFonts w:ascii="Times New Roman" w:hAnsi="Times New Roman" w:cs="Times New Roman"/>
        </w:rPr>
        <w:t xml:space="preserve"> periods of time, they must be addressed.</w:t>
      </w:r>
    </w:p>
    <w:p w:rsidR="00185248" w:rsidRPr="00E159EF" w:rsidRDefault="00BF5B35" w:rsidP="00472930">
      <w:pPr>
        <w:pStyle w:val="Normal1"/>
        <w:ind w:left="720"/>
        <w:rPr>
          <w:rFonts w:ascii="Times New Roman" w:eastAsia="Calibri" w:hAnsi="Times New Roman" w:cs="Times New Roman"/>
          <w:b/>
          <w:color w:val="auto"/>
        </w:rPr>
      </w:pPr>
      <w:r>
        <w:rPr>
          <w:rFonts w:ascii="Times New Roman" w:hAnsi="Times New Roman" w:cs="Times New Roman"/>
        </w:rPr>
        <w:t xml:space="preserve">This </w:t>
      </w:r>
      <w:r w:rsidR="004C0670">
        <w:rPr>
          <w:rFonts w:ascii="Times New Roman" w:hAnsi="Times New Roman" w:cs="Times New Roman"/>
        </w:rPr>
        <w:t>committee</w:t>
      </w:r>
      <w:r>
        <w:rPr>
          <w:rFonts w:ascii="Times New Roman" w:hAnsi="Times New Roman" w:cs="Times New Roman"/>
        </w:rPr>
        <w:t xml:space="preserve"> would like to reiterate their recommendation to prioritize NZE strategies </w:t>
      </w:r>
      <w:r w:rsidR="00472930">
        <w:rPr>
          <w:rFonts w:ascii="Times New Roman" w:hAnsi="Times New Roman" w:cs="Times New Roman"/>
        </w:rPr>
        <w:t>that do not require RECs over REC-</w:t>
      </w:r>
      <w:r>
        <w:rPr>
          <w:rFonts w:ascii="Times New Roman" w:hAnsi="Times New Roman" w:cs="Times New Roman"/>
        </w:rPr>
        <w:t>NZE strategies.</w:t>
      </w:r>
    </w:p>
    <w:p w:rsidR="00B55D8C" w:rsidRPr="00243BF9" w:rsidRDefault="00185248" w:rsidP="00243BF9">
      <w:pPr>
        <w:pStyle w:val="Normal10"/>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“Freeze the Footprint” Consolidations</w:t>
      </w:r>
    </w:p>
    <w:p w:rsidR="00185248" w:rsidRPr="00243BF9" w:rsidRDefault="00185248" w:rsidP="00243BF9">
      <w:pPr>
        <w:spacing w:before="0"/>
        <w:ind w:left="720"/>
        <w:rPr>
          <w:rFonts w:ascii="Times New Roman" w:hAnsi="Times New Roman" w:cs="Times New Roman"/>
        </w:rPr>
      </w:pPr>
      <w:r w:rsidRPr="00243BF9">
        <w:rPr>
          <w:rFonts w:ascii="Times New Roman" w:hAnsi="Times New Roman" w:cs="Times New Roman"/>
        </w:rPr>
        <w:t>GSA and other federal agencies can leverage the “Freeze the Footprint” consolidations of federal real property assets, as required under Presidential Memo 2010 and EO 13589, by strategically divesting of properties that no longer support the mission and performance objectives for each agency. The overall performance of the remaining portfolio will improve as the number of excess and underutilized properties held by each federal agency decreases.</w:t>
      </w:r>
    </w:p>
    <w:p w:rsidR="00B55D8C" w:rsidRPr="00243BF9" w:rsidRDefault="00B55D8C" w:rsidP="00243BF9">
      <w:pPr>
        <w:pStyle w:val="Normal10"/>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Net Metering Utility Credits</w:t>
      </w:r>
    </w:p>
    <w:p w:rsidR="00B55D8C" w:rsidRPr="00243BF9" w:rsidRDefault="00B55D8C" w:rsidP="00243BF9">
      <w:pPr>
        <w:spacing w:before="0"/>
        <w:ind w:left="720"/>
        <w:rPr>
          <w:rFonts w:ascii="Times New Roman" w:hAnsi="Times New Roman" w:cs="Times New Roman"/>
        </w:rPr>
      </w:pPr>
      <w:r w:rsidRPr="00243BF9">
        <w:rPr>
          <w:rFonts w:ascii="Times New Roman" w:hAnsi="Times New Roman" w:cs="Times New Roman"/>
        </w:rPr>
        <w:t>The Public Utility Commissions</w:t>
      </w:r>
      <w:r w:rsidR="003E4C60" w:rsidRPr="00243BF9">
        <w:rPr>
          <w:rFonts w:ascii="Times New Roman" w:hAnsi="Times New Roman" w:cs="Times New Roman"/>
        </w:rPr>
        <w:t xml:space="preserve"> (PUCs)</w:t>
      </w:r>
      <w:r w:rsidRPr="00243BF9">
        <w:rPr>
          <w:rFonts w:ascii="Times New Roman" w:hAnsi="Times New Roman" w:cs="Times New Roman"/>
        </w:rPr>
        <w:t xml:space="preserve"> in some states recognize that the value of on-site renewable energy (such as from NZE </w:t>
      </w:r>
      <w:r w:rsidR="007A6F5A">
        <w:rPr>
          <w:rFonts w:ascii="Times New Roman" w:hAnsi="Times New Roman" w:cs="Times New Roman"/>
        </w:rPr>
        <w:t>b</w:t>
      </w:r>
      <w:r w:rsidR="007A6F5A" w:rsidRPr="00243BF9">
        <w:rPr>
          <w:rFonts w:ascii="Times New Roman" w:hAnsi="Times New Roman" w:cs="Times New Roman"/>
        </w:rPr>
        <w:t xml:space="preserve">uildings </w:t>
      </w:r>
      <w:r w:rsidRPr="00243BF9">
        <w:rPr>
          <w:rFonts w:ascii="Times New Roman" w:hAnsi="Times New Roman" w:cs="Times New Roman"/>
        </w:rPr>
        <w:t xml:space="preserve">and </w:t>
      </w:r>
      <w:r w:rsidR="007A6F5A">
        <w:rPr>
          <w:rFonts w:ascii="Times New Roman" w:hAnsi="Times New Roman" w:cs="Times New Roman"/>
        </w:rPr>
        <w:t>c</w:t>
      </w:r>
      <w:r w:rsidR="007A6F5A" w:rsidRPr="00243BF9">
        <w:rPr>
          <w:rFonts w:ascii="Times New Roman" w:hAnsi="Times New Roman" w:cs="Times New Roman"/>
        </w:rPr>
        <w:t>ampuses</w:t>
      </w:r>
      <w:r w:rsidRPr="00243BF9">
        <w:rPr>
          <w:rFonts w:ascii="Times New Roman" w:hAnsi="Times New Roman" w:cs="Times New Roman"/>
        </w:rPr>
        <w:t>) provides benefits in excess of the commodity value of energy as distributed on the grid. These benefits may include reduced air pollution and water use from fossil fuel-based energy production</w:t>
      </w:r>
      <w:r w:rsidR="007A6F5A">
        <w:rPr>
          <w:rFonts w:ascii="Times New Roman" w:hAnsi="Times New Roman" w:cs="Times New Roman"/>
        </w:rPr>
        <w:t>;</w:t>
      </w:r>
      <w:r w:rsidR="007A6F5A" w:rsidRPr="00243BF9">
        <w:rPr>
          <w:rFonts w:ascii="Times New Roman" w:hAnsi="Times New Roman" w:cs="Times New Roman"/>
        </w:rPr>
        <w:t xml:space="preserve"> </w:t>
      </w:r>
      <w:r w:rsidRPr="00243BF9">
        <w:rPr>
          <w:rFonts w:ascii="Times New Roman" w:hAnsi="Times New Roman" w:cs="Times New Roman"/>
        </w:rPr>
        <w:t>new local jobs</w:t>
      </w:r>
      <w:r w:rsidR="007A6F5A">
        <w:rPr>
          <w:rFonts w:ascii="Times New Roman" w:hAnsi="Times New Roman" w:cs="Times New Roman"/>
        </w:rPr>
        <w:t>;</w:t>
      </w:r>
      <w:r w:rsidR="007A6F5A" w:rsidRPr="00243BF9">
        <w:rPr>
          <w:rFonts w:ascii="Times New Roman" w:hAnsi="Times New Roman" w:cs="Times New Roman"/>
        </w:rPr>
        <w:t xml:space="preserve"> </w:t>
      </w:r>
      <w:r w:rsidRPr="00243BF9">
        <w:rPr>
          <w:rFonts w:ascii="Times New Roman" w:hAnsi="Times New Roman" w:cs="Times New Roman"/>
        </w:rPr>
        <w:t>economic opportunity from local production, installation, and maintenance</w:t>
      </w:r>
      <w:r w:rsidR="007A6F5A">
        <w:rPr>
          <w:rFonts w:ascii="Times New Roman" w:hAnsi="Times New Roman" w:cs="Times New Roman"/>
        </w:rPr>
        <w:t>;</w:t>
      </w:r>
      <w:r w:rsidR="007A6F5A" w:rsidRPr="00243BF9">
        <w:rPr>
          <w:rFonts w:ascii="Times New Roman" w:hAnsi="Times New Roman" w:cs="Times New Roman"/>
        </w:rPr>
        <w:t xml:space="preserve"> </w:t>
      </w:r>
      <w:r w:rsidRPr="00243BF9">
        <w:rPr>
          <w:rFonts w:ascii="Times New Roman" w:hAnsi="Times New Roman" w:cs="Times New Roman"/>
        </w:rPr>
        <w:t xml:space="preserve">and improved disaster resilience. Minnesota and Austin, TX </w:t>
      </w:r>
      <w:r w:rsidR="006A630A" w:rsidRPr="00243BF9">
        <w:rPr>
          <w:rFonts w:ascii="Times New Roman" w:hAnsi="Times New Roman" w:cs="Times New Roman"/>
        </w:rPr>
        <w:t>ha</w:t>
      </w:r>
      <w:r w:rsidR="006A630A">
        <w:rPr>
          <w:rFonts w:ascii="Times New Roman" w:hAnsi="Times New Roman" w:cs="Times New Roman"/>
        </w:rPr>
        <w:t>ve</w:t>
      </w:r>
      <w:r w:rsidR="006A630A" w:rsidRPr="00243BF9">
        <w:rPr>
          <w:rFonts w:ascii="Times New Roman" w:hAnsi="Times New Roman" w:cs="Times New Roman"/>
        </w:rPr>
        <w:t xml:space="preserve"> </w:t>
      </w:r>
      <w:r w:rsidRPr="00243BF9">
        <w:rPr>
          <w:rFonts w:ascii="Times New Roman" w:hAnsi="Times New Roman" w:cs="Times New Roman"/>
        </w:rPr>
        <w:t xml:space="preserve">established a value-of-solar tariff </w:t>
      </w:r>
      <w:r w:rsidR="00B80552" w:rsidRPr="00243BF9">
        <w:rPr>
          <w:rFonts w:ascii="Times New Roman" w:hAnsi="Times New Roman" w:cs="Times New Roman"/>
        </w:rPr>
        <w:t xml:space="preserve">(VOST) </w:t>
      </w:r>
      <w:r w:rsidRPr="00243BF9">
        <w:rPr>
          <w:rFonts w:ascii="Times New Roman" w:hAnsi="Times New Roman" w:cs="Times New Roman"/>
        </w:rPr>
        <w:t xml:space="preserve">that incorporates these additional benefits, </w:t>
      </w:r>
      <w:r w:rsidR="007A6F5A">
        <w:rPr>
          <w:rFonts w:ascii="Times New Roman" w:hAnsi="Times New Roman" w:cs="Times New Roman"/>
        </w:rPr>
        <w:t>which is currently</w:t>
      </w:r>
      <w:r w:rsidRPr="00243BF9">
        <w:rPr>
          <w:rFonts w:ascii="Times New Roman" w:hAnsi="Times New Roman" w:cs="Times New Roman"/>
        </w:rPr>
        <w:t xml:space="preserve"> greater than the retail rate for electricity. Other PUCs (including Nevada, Texas, Hawaii, and Massachusetts) have established net</w:t>
      </w:r>
      <w:r w:rsidR="006A630A">
        <w:rPr>
          <w:rFonts w:ascii="Times New Roman" w:hAnsi="Times New Roman" w:cs="Times New Roman"/>
        </w:rPr>
        <w:t>-</w:t>
      </w:r>
      <w:r w:rsidRPr="00243BF9">
        <w:rPr>
          <w:rFonts w:ascii="Times New Roman" w:hAnsi="Times New Roman" w:cs="Times New Roman"/>
        </w:rPr>
        <w:lastRenderedPageBreak/>
        <w:t xml:space="preserve">metering policies that provide full credit for on-site renewable energy generation. In some cases and during some seasons, a NZE </w:t>
      </w:r>
      <w:r w:rsidR="007A6F5A">
        <w:rPr>
          <w:rFonts w:ascii="Times New Roman" w:hAnsi="Times New Roman" w:cs="Times New Roman"/>
        </w:rPr>
        <w:t>b</w:t>
      </w:r>
      <w:r w:rsidR="007A6F5A" w:rsidRPr="00243BF9">
        <w:rPr>
          <w:rFonts w:ascii="Times New Roman" w:hAnsi="Times New Roman" w:cs="Times New Roman"/>
        </w:rPr>
        <w:t xml:space="preserve">uilding </w:t>
      </w:r>
      <w:r w:rsidRPr="00243BF9">
        <w:rPr>
          <w:rFonts w:ascii="Times New Roman" w:hAnsi="Times New Roman" w:cs="Times New Roman"/>
        </w:rPr>
        <w:t xml:space="preserve">or </w:t>
      </w:r>
      <w:r w:rsidR="007A6F5A">
        <w:rPr>
          <w:rFonts w:ascii="Times New Roman" w:hAnsi="Times New Roman" w:cs="Times New Roman"/>
        </w:rPr>
        <w:t>c</w:t>
      </w:r>
      <w:r w:rsidR="007A6F5A" w:rsidRPr="00243BF9">
        <w:rPr>
          <w:rFonts w:ascii="Times New Roman" w:hAnsi="Times New Roman" w:cs="Times New Roman"/>
        </w:rPr>
        <w:t xml:space="preserve">ampus </w:t>
      </w:r>
      <w:r w:rsidRPr="00243BF9">
        <w:rPr>
          <w:rFonts w:ascii="Times New Roman" w:hAnsi="Times New Roman" w:cs="Times New Roman"/>
        </w:rPr>
        <w:t>may produce more energy than it uses, and may receive either an account credit or a direct payment.</w:t>
      </w:r>
    </w:p>
    <w:p w:rsidR="00444F24" w:rsidRPr="004165A4" w:rsidRDefault="004165A4" w:rsidP="00F045E0">
      <w:pPr>
        <w:pStyle w:val="Normal10"/>
        <w:rPr>
          <w:rFonts w:ascii="Times New Roman" w:hAnsi="Times New Roman" w:cs="Times New Roman"/>
          <w:b/>
          <w:i/>
          <w:color w:val="auto"/>
        </w:rPr>
      </w:pPr>
      <w:r w:rsidRPr="004165A4">
        <w:rPr>
          <w:rFonts w:ascii="Times New Roman" w:hAnsi="Times New Roman" w:cs="Times New Roman"/>
          <w:b/>
          <w:i/>
          <w:color w:val="auto"/>
        </w:rPr>
        <w:t xml:space="preserve">Section 4.3: </w:t>
      </w:r>
      <w:r w:rsidR="00444F24" w:rsidRPr="004165A4">
        <w:rPr>
          <w:rFonts w:ascii="Times New Roman" w:hAnsi="Times New Roman" w:cs="Times New Roman"/>
          <w:b/>
          <w:i/>
          <w:color w:val="auto"/>
        </w:rPr>
        <w:t>Compliance</w:t>
      </w:r>
    </w:p>
    <w:p w:rsidR="00444F24" w:rsidRPr="00E159EF" w:rsidRDefault="00444F24" w:rsidP="00F045E0">
      <w:pPr>
        <w:spacing w:before="0"/>
        <w:rPr>
          <w:rFonts w:ascii="Times New Roman" w:hAnsi="Times New Roman" w:cs="Times New Roman"/>
        </w:rPr>
      </w:pPr>
      <w:r w:rsidRPr="00E159EF">
        <w:rPr>
          <w:rFonts w:ascii="Times New Roman" w:hAnsi="Times New Roman" w:cs="Times New Roman"/>
        </w:rPr>
        <w:t xml:space="preserve">Compliance with executive orders, agency goals, and other federal directives is important to furthering the goals of the </w:t>
      </w:r>
      <w:r w:rsidR="00D867C9" w:rsidRPr="00E159EF">
        <w:rPr>
          <w:rFonts w:ascii="Times New Roman" w:hAnsi="Times New Roman" w:cs="Times New Roman"/>
        </w:rPr>
        <w:t>GSA</w:t>
      </w:r>
      <w:r w:rsidRPr="00E159EF">
        <w:rPr>
          <w:rFonts w:ascii="Times New Roman" w:hAnsi="Times New Roman" w:cs="Times New Roman"/>
        </w:rPr>
        <w:t xml:space="preserve"> and the federal government as a whole. Surpassing these directives and setting new standards for federal building performance can help elevate the GSA and other agencies, not only as leaders in the federal building space, but as leaders in the overall commercial building space.</w:t>
      </w:r>
    </w:p>
    <w:p w:rsidR="00D867C9" w:rsidRPr="00E159EF" w:rsidRDefault="00444F24" w:rsidP="00F045E0">
      <w:pPr>
        <w:rPr>
          <w:rFonts w:ascii="Times New Roman" w:hAnsi="Times New Roman" w:cs="Times New Roman"/>
        </w:rPr>
      </w:pPr>
      <w:r w:rsidRPr="00E159EF">
        <w:rPr>
          <w:rFonts w:ascii="Times New Roman" w:hAnsi="Times New Roman" w:cs="Times New Roman"/>
        </w:rPr>
        <w:t>The details in section 3 above indicate</w:t>
      </w:r>
      <w:r w:rsidR="00D867C9" w:rsidRPr="00E159EF">
        <w:rPr>
          <w:rFonts w:ascii="Times New Roman" w:hAnsi="Times New Roman" w:cs="Times New Roman"/>
        </w:rPr>
        <w:t xml:space="preserve"> a few of</w:t>
      </w:r>
      <w:r w:rsidRPr="00E159EF">
        <w:rPr>
          <w:rFonts w:ascii="Times New Roman" w:hAnsi="Times New Roman" w:cs="Times New Roman"/>
        </w:rPr>
        <w:t xml:space="preserve"> the many ways in which driving toward NZE in GSA buildings will comply with existing executive orders and other goals and directives. </w:t>
      </w:r>
      <w:r w:rsidR="00D867C9" w:rsidRPr="00E159EF">
        <w:rPr>
          <w:rFonts w:ascii="Times New Roman" w:hAnsi="Times New Roman" w:cs="Times New Roman"/>
        </w:rPr>
        <w:t xml:space="preserve">Additionally, the “freeze the footprint” consolidations detailed </w:t>
      </w:r>
      <w:r w:rsidR="007A6F5A">
        <w:rPr>
          <w:rFonts w:ascii="Times New Roman" w:hAnsi="Times New Roman" w:cs="Times New Roman"/>
        </w:rPr>
        <w:t>under the Tools</w:t>
      </w:r>
      <w:r w:rsidR="00D867C9" w:rsidRPr="00E159EF">
        <w:rPr>
          <w:rFonts w:ascii="Times New Roman" w:hAnsi="Times New Roman" w:cs="Times New Roman"/>
        </w:rPr>
        <w:t xml:space="preserve"> </w:t>
      </w:r>
      <w:r w:rsidR="007A6F5A">
        <w:rPr>
          <w:rFonts w:ascii="Times New Roman" w:hAnsi="Times New Roman" w:cs="Times New Roman"/>
        </w:rPr>
        <w:t xml:space="preserve">section </w:t>
      </w:r>
      <w:r w:rsidR="00D867C9" w:rsidRPr="00E159EF">
        <w:rPr>
          <w:rFonts w:ascii="Times New Roman" w:hAnsi="Times New Roman" w:cs="Times New Roman"/>
        </w:rPr>
        <w:t xml:space="preserve">serves the dual purpose of removing energy-consuming buildings from </w:t>
      </w:r>
      <w:r w:rsidR="005F79D0">
        <w:rPr>
          <w:rFonts w:ascii="Times New Roman" w:hAnsi="Times New Roman" w:cs="Times New Roman"/>
        </w:rPr>
        <w:t>federal</w:t>
      </w:r>
      <w:r w:rsidR="00D867C9" w:rsidRPr="00E159EF">
        <w:rPr>
          <w:rFonts w:ascii="Times New Roman" w:hAnsi="Times New Roman" w:cs="Times New Roman"/>
        </w:rPr>
        <w:t xml:space="preserve"> portfolios while complying with Executive Order. </w:t>
      </w:r>
      <w:r w:rsidRPr="00E159EF">
        <w:rPr>
          <w:rFonts w:ascii="Times New Roman" w:hAnsi="Times New Roman" w:cs="Times New Roman"/>
        </w:rPr>
        <w:t>Outside of those directives</w:t>
      </w:r>
      <w:r w:rsidR="00D867C9" w:rsidRPr="00E159EF">
        <w:rPr>
          <w:rFonts w:ascii="Times New Roman" w:hAnsi="Times New Roman" w:cs="Times New Roman"/>
        </w:rPr>
        <w:t>,</w:t>
      </w:r>
      <w:r w:rsidRPr="00E159EF">
        <w:rPr>
          <w:rFonts w:ascii="Times New Roman" w:hAnsi="Times New Roman" w:cs="Times New Roman"/>
        </w:rPr>
        <w:t xml:space="preserve"> this </w:t>
      </w:r>
      <w:r w:rsidR="004C0670">
        <w:rPr>
          <w:rFonts w:ascii="Times New Roman" w:hAnsi="Times New Roman" w:cs="Times New Roman"/>
        </w:rPr>
        <w:t>committee</w:t>
      </w:r>
      <w:r w:rsidRPr="00E159EF">
        <w:rPr>
          <w:rFonts w:ascii="Times New Roman" w:hAnsi="Times New Roman" w:cs="Times New Roman"/>
        </w:rPr>
        <w:t xml:space="preserve"> believes that this document can help the GSA and other agencies comply with federal requirements for life</w:t>
      </w:r>
      <w:r w:rsidR="007A6F5A">
        <w:rPr>
          <w:rFonts w:ascii="Times New Roman" w:hAnsi="Times New Roman" w:cs="Times New Roman"/>
        </w:rPr>
        <w:t>-</w:t>
      </w:r>
      <w:r w:rsidRPr="00E159EF">
        <w:rPr>
          <w:rFonts w:ascii="Times New Roman" w:hAnsi="Times New Roman" w:cs="Times New Roman"/>
        </w:rPr>
        <w:t>cycle cost analysis of federal capital projects.</w:t>
      </w:r>
    </w:p>
    <w:p w:rsidR="00D867C9" w:rsidRPr="00F045E0" w:rsidRDefault="000F0299" w:rsidP="00472930">
      <w:pPr>
        <w:rPr>
          <w:rFonts w:ascii="Times New Roman" w:hAnsi="Times New Roman" w:cs="Times New Roman"/>
          <w:color w:val="auto"/>
        </w:rPr>
      </w:pPr>
      <w:r>
        <w:rPr>
          <w:rFonts w:ascii="Times New Roman" w:hAnsi="Times New Roman" w:cs="Times New Roman"/>
        </w:rPr>
        <w:t>All Federal agencies are required to conduct life-cycle cost analysis for capital projects (</w:t>
      </w:r>
      <w:r w:rsidRPr="00474251">
        <w:rPr>
          <w:rFonts w:ascii="Times New Roman" w:hAnsi="Times New Roman" w:cs="Times New Roman"/>
        </w:rPr>
        <w:t>under the National Energy Conservation Policy Act (1978), the Federal Energy Management Improvement Act (1988), the Energy Policy Act (2005), and the Energy Independence and Security Act (</w:t>
      </w:r>
      <w:r>
        <w:rPr>
          <w:rFonts w:ascii="Times New Roman" w:hAnsi="Times New Roman" w:cs="Times New Roman"/>
        </w:rPr>
        <w:t xml:space="preserve">EISA </w:t>
      </w:r>
      <w:r w:rsidRPr="00474251">
        <w:rPr>
          <w:rFonts w:ascii="Times New Roman" w:hAnsi="Times New Roman" w:cs="Times New Roman"/>
        </w:rPr>
        <w:t>2007)</w:t>
      </w:r>
      <w:r>
        <w:rPr>
          <w:rFonts w:ascii="Times New Roman" w:hAnsi="Times New Roman" w:cs="Times New Roman"/>
        </w:rPr>
        <w:t>) to select economically efficient capital investments. EISA extended the maximum Study Period to 40 years, and further specified that projects may be “bundled” in the LCCA to meet the economically efficient investment threshold. Agencies can therefore use an appropriate long-term Study Period and bundled projects (such as for portfolios or campuses) to assess the economic</w:t>
      </w:r>
      <w:r w:rsidR="00EC3A49">
        <w:rPr>
          <w:rFonts w:ascii="Times New Roman" w:hAnsi="Times New Roman" w:cs="Times New Roman"/>
        </w:rPr>
        <w:t xml:space="preserve"> efficiency of NZE investments.</w:t>
      </w:r>
    </w:p>
    <w:p w:rsidR="00D74087" w:rsidRPr="00502FAD" w:rsidRDefault="00D74087" w:rsidP="00D74087">
      <w:pPr>
        <w:pStyle w:val="Heading2"/>
        <w:spacing w:before="360" w:after="80"/>
        <w:contextualSpacing w:val="0"/>
        <w:rPr>
          <w:rFonts w:ascii="Times New Roman" w:eastAsia="Calibri" w:hAnsi="Times New Roman" w:cs="Times New Roman"/>
          <w:color w:val="auto"/>
          <w:sz w:val="24"/>
        </w:rPr>
      </w:pPr>
      <w:r>
        <w:rPr>
          <w:rFonts w:ascii="Times New Roman" w:eastAsia="Calibri" w:hAnsi="Times New Roman" w:cs="Times New Roman"/>
          <w:color w:val="auto"/>
          <w:sz w:val="24"/>
        </w:rPr>
        <w:t>Section 5: Conclusion</w:t>
      </w:r>
    </w:p>
    <w:p w:rsidR="00BA152E" w:rsidRDefault="00D74087">
      <w:pPr>
        <w:spacing w:before="0" w:after="0"/>
        <w:rPr>
          <w:rFonts w:ascii="Times New Roman" w:eastAsia="Calibri" w:hAnsi="Times New Roman" w:cs="Times New Roman"/>
          <w:color w:val="auto"/>
          <w:szCs w:val="22"/>
        </w:rPr>
      </w:pPr>
      <w:r w:rsidRPr="00D74087">
        <w:rPr>
          <w:rFonts w:ascii="Times New Roman" w:eastAsia="Calibri" w:hAnsi="Times New Roman" w:cs="Times New Roman"/>
          <w:color w:val="auto"/>
          <w:szCs w:val="22"/>
        </w:rPr>
        <w:t>The GSA</w:t>
      </w:r>
      <w:r>
        <w:rPr>
          <w:rFonts w:ascii="Times New Roman" w:eastAsia="Calibri" w:hAnsi="Times New Roman" w:cs="Times New Roman"/>
          <w:color w:val="auto"/>
          <w:szCs w:val="22"/>
        </w:rPr>
        <w:t xml:space="preserve"> </w:t>
      </w:r>
      <w:r w:rsidR="005C5256">
        <w:rPr>
          <w:rFonts w:ascii="Times New Roman" w:eastAsia="Calibri" w:hAnsi="Times New Roman" w:cs="Times New Roman"/>
          <w:color w:val="auto"/>
          <w:szCs w:val="22"/>
        </w:rPr>
        <w:t>can</w:t>
      </w:r>
      <w:r>
        <w:rPr>
          <w:rFonts w:ascii="Times New Roman" w:eastAsia="Calibri" w:hAnsi="Times New Roman" w:cs="Times New Roman"/>
          <w:color w:val="auto"/>
          <w:szCs w:val="22"/>
        </w:rPr>
        <w:t xml:space="preserve"> lead the </w:t>
      </w:r>
      <w:r w:rsidR="005F79D0">
        <w:rPr>
          <w:rFonts w:ascii="Times New Roman" w:eastAsia="Calibri" w:hAnsi="Times New Roman" w:cs="Times New Roman"/>
          <w:color w:val="auto"/>
          <w:szCs w:val="22"/>
        </w:rPr>
        <w:t>federal</w:t>
      </w:r>
      <w:r>
        <w:rPr>
          <w:rFonts w:ascii="Times New Roman" w:eastAsia="Calibri" w:hAnsi="Times New Roman" w:cs="Times New Roman"/>
          <w:color w:val="auto"/>
          <w:szCs w:val="22"/>
        </w:rPr>
        <w:t xml:space="preserve"> government and the country as a whole in delivering compliant high performance </w:t>
      </w:r>
      <w:r w:rsidR="00DF794D">
        <w:rPr>
          <w:rFonts w:ascii="Times New Roman" w:eastAsia="Calibri" w:hAnsi="Times New Roman" w:cs="Times New Roman"/>
          <w:color w:val="auto"/>
          <w:szCs w:val="22"/>
        </w:rPr>
        <w:t xml:space="preserve">NZE </w:t>
      </w:r>
      <w:r>
        <w:rPr>
          <w:rFonts w:ascii="Times New Roman" w:eastAsia="Calibri" w:hAnsi="Times New Roman" w:cs="Times New Roman"/>
          <w:color w:val="auto"/>
          <w:szCs w:val="22"/>
        </w:rPr>
        <w:t>buildings.</w:t>
      </w:r>
      <w:r w:rsidR="00BA152E">
        <w:rPr>
          <w:rFonts w:ascii="Times New Roman" w:eastAsia="Calibri" w:hAnsi="Times New Roman" w:cs="Times New Roman"/>
          <w:color w:val="auto"/>
          <w:szCs w:val="22"/>
        </w:rPr>
        <w:t xml:space="preserve"> Through the use of the strategies recommended within this document and other</w:t>
      </w:r>
      <w:r w:rsidR="005C5256">
        <w:rPr>
          <w:rFonts w:ascii="Times New Roman" w:eastAsia="Calibri" w:hAnsi="Times New Roman" w:cs="Times New Roman"/>
          <w:color w:val="auto"/>
          <w:szCs w:val="22"/>
        </w:rPr>
        <w:t>s</w:t>
      </w:r>
      <w:r w:rsidR="00BA152E">
        <w:rPr>
          <w:rFonts w:ascii="Times New Roman" w:eastAsia="Calibri" w:hAnsi="Times New Roman" w:cs="Times New Roman"/>
          <w:color w:val="auto"/>
          <w:szCs w:val="22"/>
        </w:rPr>
        <w:t xml:space="preserve">, the </w:t>
      </w:r>
      <w:r w:rsidR="005F79D0">
        <w:rPr>
          <w:rFonts w:ascii="Times New Roman" w:eastAsia="Calibri" w:hAnsi="Times New Roman" w:cs="Times New Roman"/>
          <w:color w:val="auto"/>
          <w:szCs w:val="22"/>
        </w:rPr>
        <w:t>federal</w:t>
      </w:r>
      <w:r w:rsidR="00BA152E">
        <w:rPr>
          <w:rFonts w:ascii="Times New Roman" w:eastAsia="Calibri" w:hAnsi="Times New Roman" w:cs="Times New Roman"/>
          <w:color w:val="auto"/>
          <w:szCs w:val="22"/>
        </w:rPr>
        <w:t xml:space="preserve"> government can attain, and even surpass the recommended goal of verifying 50% of </w:t>
      </w:r>
      <w:r w:rsidR="00EE3AF8">
        <w:rPr>
          <w:rFonts w:ascii="Times New Roman" w:eastAsia="Calibri" w:hAnsi="Times New Roman" w:cs="Times New Roman"/>
          <w:color w:val="auto"/>
          <w:szCs w:val="22"/>
        </w:rPr>
        <w:t xml:space="preserve">federal </w:t>
      </w:r>
      <w:r w:rsidR="00BA152E">
        <w:rPr>
          <w:rFonts w:ascii="Times New Roman" w:eastAsia="Calibri" w:hAnsi="Times New Roman" w:cs="Times New Roman"/>
          <w:color w:val="auto"/>
          <w:szCs w:val="22"/>
        </w:rPr>
        <w:t xml:space="preserve">building area as NZE. The </w:t>
      </w:r>
      <w:r w:rsidR="004C0670">
        <w:rPr>
          <w:rFonts w:ascii="Times New Roman" w:eastAsia="Calibri" w:hAnsi="Times New Roman" w:cs="Times New Roman"/>
          <w:color w:val="auto"/>
          <w:szCs w:val="22"/>
        </w:rPr>
        <w:t>GBAC</w:t>
      </w:r>
      <w:r w:rsidR="00BA152E">
        <w:rPr>
          <w:rFonts w:ascii="Times New Roman" w:eastAsia="Calibri" w:hAnsi="Times New Roman" w:cs="Times New Roman"/>
          <w:color w:val="auto"/>
          <w:szCs w:val="22"/>
        </w:rPr>
        <w:t xml:space="preserve"> believes strongly that achieving this goal will decrease agency operating costs, provide a number of immeasurable benefits to building occupants, increase the </w:t>
      </w:r>
      <w:r w:rsidR="005F79D0">
        <w:rPr>
          <w:rFonts w:ascii="Times New Roman" w:eastAsia="Calibri" w:hAnsi="Times New Roman" w:cs="Times New Roman"/>
          <w:color w:val="auto"/>
          <w:szCs w:val="22"/>
        </w:rPr>
        <w:t>federal</w:t>
      </w:r>
      <w:r w:rsidR="00BA152E">
        <w:rPr>
          <w:rFonts w:ascii="Times New Roman" w:eastAsia="Calibri" w:hAnsi="Times New Roman" w:cs="Times New Roman"/>
          <w:color w:val="auto"/>
          <w:szCs w:val="22"/>
        </w:rPr>
        <w:t xml:space="preserve"> government’s energy security, and provide the most economically sound long-term solution for managing the </w:t>
      </w:r>
      <w:r w:rsidR="005F79D0">
        <w:rPr>
          <w:rFonts w:ascii="Times New Roman" w:eastAsia="Calibri" w:hAnsi="Times New Roman" w:cs="Times New Roman"/>
          <w:color w:val="auto"/>
          <w:szCs w:val="22"/>
        </w:rPr>
        <w:t>federal</w:t>
      </w:r>
      <w:r w:rsidR="00BA152E">
        <w:rPr>
          <w:rFonts w:ascii="Times New Roman" w:eastAsia="Calibri" w:hAnsi="Times New Roman" w:cs="Times New Roman"/>
          <w:color w:val="auto"/>
          <w:szCs w:val="22"/>
        </w:rPr>
        <w:t xml:space="preserve"> building stock. </w:t>
      </w:r>
    </w:p>
    <w:p w:rsidR="00BA152E" w:rsidRDefault="00BA152E">
      <w:pPr>
        <w:spacing w:before="0" w:after="0"/>
        <w:rPr>
          <w:rFonts w:ascii="Times New Roman" w:eastAsia="Calibri" w:hAnsi="Times New Roman" w:cs="Times New Roman"/>
          <w:color w:val="auto"/>
          <w:szCs w:val="22"/>
        </w:rPr>
      </w:pPr>
    </w:p>
    <w:p w:rsidR="00BA152E" w:rsidRDefault="00BA152E">
      <w:pPr>
        <w:spacing w:before="0" w:after="0"/>
        <w:rPr>
          <w:rFonts w:ascii="Times New Roman" w:eastAsia="Calibri" w:hAnsi="Times New Roman" w:cs="Times New Roman"/>
          <w:color w:val="auto"/>
          <w:szCs w:val="22"/>
        </w:rPr>
      </w:pPr>
      <w:r>
        <w:rPr>
          <w:rFonts w:ascii="Times New Roman" w:eastAsia="Calibri" w:hAnsi="Times New Roman" w:cs="Times New Roman"/>
          <w:color w:val="auto"/>
          <w:szCs w:val="22"/>
        </w:rPr>
        <w:t xml:space="preserve">Thank you for your careful consideration of this document and for the opportunity to recommend these historic policies. </w:t>
      </w:r>
      <w:r w:rsidR="00DF794D">
        <w:rPr>
          <w:rFonts w:ascii="Times New Roman" w:eastAsia="Calibri" w:hAnsi="Times New Roman" w:cs="Times New Roman"/>
          <w:color w:val="auto"/>
          <w:szCs w:val="22"/>
        </w:rPr>
        <w:t xml:space="preserve">On behalf of the </w:t>
      </w:r>
      <w:r w:rsidR="004C0670">
        <w:rPr>
          <w:rFonts w:ascii="Times New Roman" w:eastAsia="Calibri" w:hAnsi="Times New Roman" w:cs="Times New Roman"/>
          <w:color w:val="auto"/>
          <w:szCs w:val="22"/>
        </w:rPr>
        <w:t>Green Building Advisory Committee</w:t>
      </w:r>
      <w:r w:rsidR="00DF794D" w:rsidRPr="00DF794D">
        <w:rPr>
          <w:rFonts w:ascii="Times New Roman" w:eastAsia="Calibri" w:hAnsi="Times New Roman" w:cs="Times New Roman"/>
          <w:color w:val="auto"/>
          <w:szCs w:val="22"/>
        </w:rPr>
        <w:t xml:space="preserve">, </w:t>
      </w:r>
      <w:r w:rsidR="004C0670">
        <w:rPr>
          <w:rFonts w:ascii="Times New Roman" w:eastAsia="Calibri" w:hAnsi="Times New Roman" w:cs="Times New Roman"/>
          <w:color w:val="auto"/>
          <w:szCs w:val="22"/>
        </w:rPr>
        <w:t>I</w:t>
      </w:r>
      <w:r w:rsidR="00DF794D" w:rsidRPr="00DF794D">
        <w:rPr>
          <w:rFonts w:ascii="Times New Roman" w:eastAsia="Calibri" w:hAnsi="Times New Roman" w:cs="Times New Roman"/>
          <w:color w:val="auto"/>
          <w:szCs w:val="22"/>
        </w:rPr>
        <w:t xml:space="preserve"> respectfully submit these recommendations for your consideration.</w:t>
      </w:r>
    </w:p>
    <w:p w:rsidR="00BA152E" w:rsidRDefault="00BA152E">
      <w:pPr>
        <w:spacing w:before="0" w:after="0"/>
        <w:rPr>
          <w:rFonts w:ascii="Times New Roman" w:eastAsia="Calibri" w:hAnsi="Times New Roman" w:cs="Times New Roman"/>
          <w:color w:val="auto"/>
          <w:szCs w:val="22"/>
        </w:rPr>
      </w:pPr>
    </w:p>
    <w:p w:rsidR="00BA152E" w:rsidRDefault="00BA152E" w:rsidP="006C7559">
      <w:pPr>
        <w:spacing w:before="0" w:after="0"/>
        <w:ind w:left="4140"/>
        <w:rPr>
          <w:rFonts w:ascii="Times New Roman" w:eastAsia="Calibri" w:hAnsi="Times New Roman" w:cs="Times New Roman"/>
          <w:color w:val="auto"/>
          <w:szCs w:val="22"/>
        </w:rPr>
      </w:pPr>
      <w:r>
        <w:rPr>
          <w:rFonts w:ascii="Times New Roman" w:eastAsia="Calibri" w:hAnsi="Times New Roman" w:cs="Times New Roman"/>
          <w:color w:val="auto"/>
          <w:szCs w:val="22"/>
        </w:rPr>
        <w:t>Sincerely,</w:t>
      </w:r>
    </w:p>
    <w:p w:rsidR="004165A4" w:rsidRDefault="004165A4" w:rsidP="006C7559">
      <w:pPr>
        <w:spacing w:before="0" w:after="0"/>
        <w:ind w:left="4140"/>
        <w:rPr>
          <w:rFonts w:ascii="Times New Roman" w:eastAsia="Calibri" w:hAnsi="Times New Roman" w:cs="Times New Roman"/>
          <w:color w:val="auto"/>
          <w:szCs w:val="22"/>
        </w:rPr>
      </w:pPr>
    </w:p>
    <w:p w:rsidR="004165A4" w:rsidRDefault="004165A4" w:rsidP="006C7559">
      <w:pPr>
        <w:spacing w:before="0" w:after="0"/>
        <w:ind w:left="4140"/>
        <w:rPr>
          <w:rFonts w:ascii="Times New Roman" w:eastAsia="Calibri" w:hAnsi="Times New Roman" w:cs="Times New Roman"/>
          <w:color w:val="auto"/>
          <w:szCs w:val="22"/>
        </w:rPr>
      </w:pPr>
    </w:p>
    <w:p w:rsidR="004165A4" w:rsidRDefault="004165A4" w:rsidP="006C7559">
      <w:pPr>
        <w:spacing w:before="0" w:after="0"/>
        <w:ind w:left="4140"/>
        <w:rPr>
          <w:rFonts w:ascii="Times New Roman" w:eastAsia="Calibri" w:hAnsi="Times New Roman" w:cs="Times New Roman"/>
          <w:color w:val="auto"/>
          <w:szCs w:val="22"/>
        </w:rPr>
      </w:pPr>
    </w:p>
    <w:p w:rsidR="004165A4" w:rsidRDefault="004165A4" w:rsidP="006C7559">
      <w:pPr>
        <w:spacing w:before="0" w:after="0"/>
        <w:ind w:left="4140"/>
        <w:rPr>
          <w:rFonts w:ascii="Times New Roman" w:eastAsia="Calibri" w:hAnsi="Times New Roman" w:cs="Times New Roman"/>
          <w:color w:val="auto"/>
          <w:szCs w:val="22"/>
        </w:rPr>
      </w:pPr>
      <w:r>
        <w:rPr>
          <w:rFonts w:ascii="Times New Roman" w:eastAsia="Calibri" w:hAnsi="Times New Roman" w:cs="Times New Roman"/>
          <w:color w:val="auto"/>
          <w:szCs w:val="22"/>
        </w:rPr>
        <w:t xml:space="preserve">------------------------------------------------------------ </w:t>
      </w:r>
      <w:r>
        <w:rPr>
          <w:rFonts w:ascii="Times New Roman" w:eastAsia="Calibri" w:hAnsi="Times New Roman" w:cs="Times New Roman"/>
          <w:color w:val="auto"/>
          <w:szCs w:val="22"/>
        </w:rPr>
        <w:tab/>
      </w:r>
    </w:p>
    <w:p w:rsidR="004165A4" w:rsidRPr="004165A4" w:rsidRDefault="004C0670" w:rsidP="006C7559">
      <w:pPr>
        <w:spacing w:before="0" w:after="0"/>
        <w:ind w:left="4140"/>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Bob Fox</w:t>
      </w:r>
      <w:r w:rsidR="004165A4" w:rsidRPr="004165A4">
        <w:rPr>
          <w:rFonts w:ascii="Times New Roman" w:eastAsia="Calibri" w:hAnsi="Times New Roman" w:cs="Times New Roman"/>
          <w:color w:val="auto"/>
          <w:sz w:val="20"/>
          <w:szCs w:val="20"/>
        </w:rPr>
        <w:tab/>
      </w:r>
      <w:r w:rsidR="004165A4" w:rsidRPr="004165A4">
        <w:rPr>
          <w:rFonts w:ascii="Times New Roman" w:eastAsia="Calibri" w:hAnsi="Times New Roman" w:cs="Times New Roman"/>
          <w:color w:val="auto"/>
          <w:sz w:val="20"/>
          <w:szCs w:val="20"/>
        </w:rPr>
        <w:tab/>
      </w:r>
      <w:r w:rsidR="004165A4" w:rsidRPr="004165A4">
        <w:rPr>
          <w:rFonts w:ascii="Times New Roman" w:eastAsia="Calibri" w:hAnsi="Times New Roman" w:cs="Times New Roman"/>
          <w:color w:val="auto"/>
          <w:sz w:val="20"/>
          <w:szCs w:val="20"/>
        </w:rPr>
        <w:tab/>
      </w:r>
      <w:r w:rsidR="004165A4" w:rsidRPr="004165A4">
        <w:rPr>
          <w:rFonts w:ascii="Times New Roman" w:eastAsia="Calibri" w:hAnsi="Times New Roman" w:cs="Times New Roman"/>
          <w:color w:val="auto"/>
          <w:sz w:val="20"/>
          <w:szCs w:val="20"/>
        </w:rPr>
        <w:tab/>
      </w:r>
      <w:r w:rsidR="004165A4" w:rsidRPr="004165A4">
        <w:rPr>
          <w:rFonts w:ascii="Times New Roman" w:eastAsia="Calibri" w:hAnsi="Times New Roman" w:cs="Times New Roman"/>
          <w:color w:val="auto"/>
          <w:sz w:val="20"/>
          <w:szCs w:val="20"/>
        </w:rPr>
        <w:tab/>
      </w:r>
    </w:p>
    <w:p w:rsidR="00DF794D" w:rsidRPr="004165A4" w:rsidRDefault="004165A4" w:rsidP="006C7559">
      <w:pPr>
        <w:spacing w:before="0" w:after="0"/>
        <w:ind w:left="4140"/>
        <w:rPr>
          <w:rFonts w:ascii="Times New Roman" w:eastAsia="Calibri" w:hAnsi="Times New Roman" w:cs="Times New Roman"/>
          <w:color w:val="auto"/>
          <w:sz w:val="20"/>
          <w:szCs w:val="20"/>
        </w:rPr>
      </w:pPr>
      <w:r w:rsidRPr="004165A4">
        <w:rPr>
          <w:rFonts w:ascii="Times New Roman" w:eastAsia="Calibri" w:hAnsi="Times New Roman" w:cs="Times New Roman"/>
          <w:color w:val="auto"/>
          <w:sz w:val="20"/>
          <w:szCs w:val="20"/>
        </w:rPr>
        <w:t>Chair,</w:t>
      </w:r>
      <w:r w:rsidR="004C0670">
        <w:rPr>
          <w:rFonts w:ascii="Times New Roman" w:eastAsia="Calibri" w:hAnsi="Times New Roman" w:cs="Times New Roman"/>
          <w:color w:val="auto"/>
          <w:sz w:val="20"/>
          <w:szCs w:val="20"/>
        </w:rPr>
        <w:t xml:space="preserve"> </w:t>
      </w:r>
      <w:r w:rsidR="00DF794D">
        <w:rPr>
          <w:rFonts w:ascii="Times New Roman" w:eastAsia="Calibri" w:hAnsi="Times New Roman" w:cs="Times New Roman"/>
          <w:color w:val="auto"/>
          <w:sz w:val="20"/>
          <w:szCs w:val="20"/>
        </w:rPr>
        <w:t xml:space="preserve">GSA </w:t>
      </w:r>
      <w:r w:rsidR="00DF794D" w:rsidRPr="00DF794D">
        <w:rPr>
          <w:rFonts w:ascii="Times New Roman" w:eastAsia="Calibri" w:hAnsi="Times New Roman" w:cs="Times New Roman"/>
          <w:color w:val="auto"/>
          <w:sz w:val="20"/>
          <w:szCs w:val="20"/>
        </w:rPr>
        <w:t>Green Building Advisory Committee</w:t>
      </w:r>
      <w:r w:rsidR="00DF794D" w:rsidRPr="00DF794D">
        <w:rPr>
          <w:rFonts w:ascii="Times New Roman" w:eastAsia="Calibri" w:hAnsi="Times New Roman" w:cs="Times New Roman"/>
          <w:color w:val="auto"/>
          <w:sz w:val="20"/>
          <w:szCs w:val="20"/>
        </w:rPr>
        <w:tab/>
      </w:r>
      <w:r w:rsidR="00DF794D" w:rsidRPr="00DF794D">
        <w:rPr>
          <w:rFonts w:ascii="Times New Roman" w:eastAsia="Calibri" w:hAnsi="Times New Roman" w:cs="Times New Roman"/>
          <w:color w:val="auto"/>
          <w:sz w:val="20"/>
          <w:szCs w:val="20"/>
        </w:rPr>
        <w:tab/>
      </w:r>
      <w:r w:rsidR="00DF794D" w:rsidRPr="00DF794D">
        <w:rPr>
          <w:rFonts w:ascii="Times New Roman" w:eastAsia="Calibri" w:hAnsi="Times New Roman" w:cs="Times New Roman"/>
          <w:color w:val="auto"/>
          <w:sz w:val="20"/>
          <w:szCs w:val="20"/>
        </w:rPr>
        <w:tab/>
      </w:r>
    </w:p>
    <w:p w:rsidR="00BF195A" w:rsidRPr="00502FAD" w:rsidRDefault="00BF195A" w:rsidP="004D79A5">
      <w:pPr>
        <w:pStyle w:val="Heading2"/>
        <w:spacing w:before="360" w:after="80"/>
        <w:contextualSpacing w:val="0"/>
        <w:rPr>
          <w:rFonts w:ascii="Times New Roman" w:eastAsia="Calibri" w:hAnsi="Times New Roman" w:cs="Times New Roman"/>
          <w:color w:val="auto"/>
          <w:sz w:val="24"/>
        </w:rPr>
      </w:pPr>
      <w:r>
        <w:rPr>
          <w:rFonts w:ascii="Times New Roman" w:eastAsia="Calibri" w:hAnsi="Times New Roman" w:cs="Times New Roman"/>
          <w:color w:val="auto"/>
          <w:sz w:val="24"/>
        </w:rPr>
        <w:lastRenderedPageBreak/>
        <w:t>Appendix A: Green Building Advisory Committee (GBAC) Members</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0"/>
        <w:gridCol w:w="1203"/>
        <w:gridCol w:w="4647"/>
        <w:gridCol w:w="2240"/>
      </w:tblGrid>
      <w:tr w:rsidR="005856AB" w:rsidRPr="00E159EF" w:rsidTr="00906D88">
        <w:tc>
          <w:tcPr>
            <w:tcW w:w="127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Last name</w:t>
            </w:r>
          </w:p>
        </w:tc>
        <w:tc>
          <w:tcPr>
            <w:tcW w:w="1203"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First name</w:t>
            </w:r>
          </w:p>
        </w:tc>
        <w:tc>
          <w:tcPr>
            <w:tcW w:w="4647"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Organization</w:t>
            </w:r>
          </w:p>
        </w:tc>
        <w:tc>
          <w:tcPr>
            <w:tcW w:w="2240"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color w:val="auto"/>
              </w:rPr>
            </w:pPr>
            <w:r>
              <w:rPr>
                <w:rFonts w:ascii="Times New Roman" w:hAnsi="Times New Roman" w:cs="Times New Roman"/>
                <w:i/>
                <w:color w:val="auto"/>
              </w:rPr>
              <w:t>Role</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Fox</w:t>
            </w:r>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Bob</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Cook Fox Architects</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CC5D1D" w:rsidP="0011070B">
            <w:pPr>
              <w:pStyle w:val="Normal1"/>
              <w:spacing w:before="40" w:after="40"/>
              <w:rPr>
                <w:rFonts w:ascii="Times New Roman" w:hAnsi="Times New Roman" w:cs="Times New Roman"/>
                <w:color w:val="auto"/>
              </w:rPr>
            </w:pPr>
            <w:r>
              <w:rPr>
                <w:rFonts w:ascii="Times New Roman" w:hAnsi="Times New Roman" w:cs="Times New Roman"/>
                <w:i/>
                <w:color w:val="auto"/>
              </w:rPr>
              <w:t>Chair</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proofErr w:type="spellStart"/>
            <w:r>
              <w:rPr>
                <w:rFonts w:ascii="Times New Roman" w:hAnsi="Times New Roman" w:cs="Times New Roman"/>
                <w:i/>
                <w:color w:val="auto"/>
              </w:rPr>
              <w:t>Beightel</w:t>
            </w:r>
            <w:proofErr w:type="spellEnd"/>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Eric</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U.S. Department of Transportation</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Cordova</w:t>
            </w:r>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Cynthia</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Department of Veterans Affairs</w:t>
            </w:r>
            <w:r w:rsidR="00906D88">
              <w:rPr>
                <w:rFonts w:ascii="Times New Roman" w:hAnsi="Times New Roman" w:cs="Times New Roman"/>
                <w:i/>
                <w:color w:val="auto"/>
              </w:rPr>
              <w:t xml:space="preserve"> (VA)</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Garvey</w:t>
            </w:r>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Will</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Council on Environmental Quality</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Green</w:t>
            </w:r>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Bucky</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U.S. Environmental Protection Agency</w:t>
            </w:r>
            <w:r w:rsidR="00906D88">
              <w:rPr>
                <w:rFonts w:ascii="Times New Roman" w:hAnsi="Times New Roman" w:cs="Times New Roman"/>
                <w:i/>
                <w:color w:val="auto"/>
              </w:rPr>
              <w:t xml:space="preserve"> (EPA)</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proofErr w:type="spellStart"/>
            <w:r>
              <w:rPr>
                <w:rFonts w:ascii="Times New Roman" w:hAnsi="Times New Roman" w:cs="Times New Roman"/>
                <w:i/>
                <w:color w:val="auto"/>
              </w:rPr>
              <w:t>Herz</w:t>
            </w:r>
            <w:proofErr w:type="spellEnd"/>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Jonathan</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U.S. Department of Health and Human Services</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MacDonald</w:t>
            </w:r>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Jennifer</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U.S. Department of Energy</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McNabb</w:t>
            </w:r>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Nancy</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National Institute of Standards and Technology</w:t>
            </w:r>
            <w:r w:rsidR="00906D88">
              <w:rPr>
                <w:rFonts w:ascii="Times New Roman" w:hAnsi="Times New Roman" w:cs="Times New Roman"/>
                <w:i/>
                <w:color w:val="auto"/>
              </w:rPr>
              <w:t xml:space="preserve"> (NIST)</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Sullivan</w:t>
            </w:r>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Maureen</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U.S. Department of Defense</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Unruh</w:t>
            </w:r>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Timothy</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U.S. Department of Energy</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proofErr w:type="spellStart"/>
            <w:r>
              <w:rPr>
                <w:rFonts w:ascii="Times New Roman" w:hAnsi="Times New Roman" w:cs="Times New Roman"/>
                <w:i/>
                <w:color w:val="auto"/>
              </w:rPr>
              <w:t>Wadia</w:t>
            </w:r>
            <w:proofErr w:type="spellEnd"/>
          </w:p>
        </w:tc>
        <w:tc>
          <w:tcPr>
            <w:tcW w:w="1203"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Cyrus</w:t>
            </w:r>
          </w:p>
        </w:tc>
        <w:tc>
          <w:tcPr>
            <w:tcW w:w="4647"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Office of Science and Technology Policy</w:t>
            </w:r>
          </w:p>
        </w:tc>
        <w:tc>
          <w:tcPr>
            <w:tcW w:w="2240" w:type="dxa"/>
            <w:tcBorders>
              <w:bottom w:val="single" w:sz="8" w:space="0" w:color="000000"/>
              <w:right w:val="single" w:sz="8" w:space="0" w:color="000000"/>
            </w:tcBorders>
            <w:tcMar>
              <w:top w:w="100" w:type="dxa"/>
              <w:left w:w="100" w:type="dxa"/>
              <w:bottom w:w="100" w:type="dxa"/>
              <w:right w:w="100" w:type="dxa"/>
            </w:tcMar>
          </w:tcPr>
          <w:p w:rsidR="00BF195A" w:rsidRPr="00E159EF" w:rsidRDefault="00BF195A"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Member, 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Costello</w:t>
            </w:r>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Amy</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Armstrong World Industries</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Deane</w:t>
            </w:r>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Michael</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Turner Construction Company</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proofErr w:type="spellStart"/>
            <w:r>
              <w:rPr>
                <w:rFonts w:ascii="Times New Roman" w:hAnsi="Times New Roman" w:cs="Times New Roman"/>
                <w:i/>
                <w:color w:val="auto"/>
              </w:rPr>
              <w:t>Dutta</w:t>
            </w:r>
            <w:proofErr w:type="spellEnd"/>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proofErr w:type="spellStart"/>
            <w:r>
              <w:rPr>
                <w:rFonts w:ascii="Times New Roman" w:hAnsi="Times New Roman" w:cs="Times New Roman"/>
                <w:i/>
                <w:color w:val="auto"/>
              </w:rPr>
              <w:t>Projjal</w:t>
            </w:r>
            <w:proofErr w:type="spellEnd"/>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New York State Metropolitan Transportation Authority</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proofErr w:type="spellStart"/>
            <w:r w:rsidRPr="00E159EF">
              <w:rPr>
                <w:rFonts w:ascii="Times New Roman" w:hAnsi="Times New Roman" w:cs="Times New Roman"/>
                <w:i/>
                <w:color w:val="auto"/>
              </w:rPr>
              <w:t>Kaneda</w:t>
            </w:r>
            <w:proofErr w:type="spellEnd"/>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David</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Integral Group</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Kats</w:t>
            </w:r>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Greg</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Capital-E</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proofErr w:type="spellStart"/>
            <w:r w:rsidRPr="00E159EF">
              <w:rPr>
                <w:rFonts w:ascii="Times New Roman" w:hAnsi="Times New Roman" w:cs="Times New Roman"/>
                <w:i/>
                <w:color w:val="auto"/>
              </w:rPr>
              <w:t>Kienzl</w:t>
            </w:r>
            <w:proofErr w:type="spellEnd"/>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proofErr w:type="spellStart"/>
            <w:r w:rsidRPr="00E159EF">
              <w:rPr>
                <w:rFonts w:ascii="Times New Roman" w:hAnsi="Times New Roman" w:cs="Times New Roman"/>
                <w:i/>
                <w:color w:val="auto"/>
              </w:rPr>
              <w:t>Nico</w:t>
            </w:r>
            <w:proofErr w:type="spellEnd"/>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Atelier Ten</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proofErr w:type="spellStart"/>
            <w:r w:rsidRPr="00E159EF">
              <w:rPr>
                <w:rFonts w:ascii="Times New Roman" w:hAnsi="Times New Roman" w:cs="Times New Roman"/>
                <w:i/>
                <w:color w:val="auto"/>
              </w:rPr>
              <w:t>Olgyay</w:t>
            </w:r>
            <w:proofErr w:type="spellEnd"/>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Victor</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Rocky Mountain Institute</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906D88"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6D88" w:rsidRPr="00E159EF" w:rsidRDefault="00906D88" w:rsidP="0011070B">
            <w:pPr>
              <w:pStyle w:val="Normal1"/>
              <w:spacing w:before="40" w:after="40"/>
              <w:rPr>
                <w:rFonts w:ascii="Times New Roman" w:hAnsi="Times New Roman" w:cs="Times New Roman"/>
                <w:i/>
                <w:color w:val="auto"/>
              </w:rPr>
            </w:pPr>
            <w:r>
              <w:rPr>
                <w:rFonts w:ascii="Times New Roman" w:hAnsi="Times New Roman" w:cs="Times New Roman"/>
                <w:i/>
                <w:color w:val="auto"/>
              </w:rPr>
              <w:t>Owens</w:t>
            </w:r>
          </w:p>
        </w:tc>
        <w:tc>
          <w:tcPr>
            <w:tcW w:w="1203" w:type="dxa"/>
            <w:tcBorders>
              <w:bottom w:val="single" w:sz="8" w:space="0" w:color="000000"/>
              <w:right w:val="single" w:sz="8" w:space="0" w:color="000000"/>
            </w:tcBorders>
            <w:tcMar>
              <w:top w:w="100" w:type="dxa"/>
              <w:left w:w="100" w:type="dxa"/>
              <w:bottom w:w="100" w:type="dxa"/>
              <w:right w:w="100" w:type="dxa"/>
            </w:tcMar>
          </w:tcPr>
          <w:p w:rsidR="00906D88" w:rsidRPr="00E159EF" w:rsidRDefault="00906D88" w:rsidP="0011070B">
            <w:pPr>
              <w:pStyle w:val="Normal1"/>
              <w:spacing w:before="40" w:after="40"/>
              <w:rPr>
                <w:rFonts w:ascii="Times New Roman" w:hAnsi="Times New Roman" w:cs="Times New Roman"/>
                <w:i/>
                <w:color w:val="auto"/>
              </w:rPr>
            </w:pPr>
            <w:r>
              <w:rPr>
                <w:rFonts w:ascii="Times New Roman" w:hAnsi="Times New Roman" w:cs="Times New Roman"/>
                <w:i/>
                <w:color w:val="auto"/>
              </w:rPr>
              <w:t>Brendan</w:t>
            </w:r>
          </w:p>
        </w:tc>
        <w:tc>
          <w:tcPr>
            <w:tcW w:w="4647" w:type="dxa"/>
            <w:tcBorders>
              <w:bottom w:val="single" w:sz="8" w:space="0" w:color="000000"/>
              <w:right w:val="single" w:sz="8" w:space="0" w:color="000000"/>
            </w:tcBorders>
            <w:tcMar>
              <w:top w:w="100" w:type="dxa"/>
              <w:left w:w="100" w:type="dxa"/>
              <w:bottom w:w="100" w:type="dxa"/>
              <w:right w:w="100" w:type="dxa"/>
            </w:tcMar>
          </w:tcPr>
          <w:p w:rsidR="00906D88" w:rsidRPr="00E159EF" w:rsidRDefault="00906D88" w:rsidP="0011070B">
            <w:pPr>
              <w:pStyle w:val="Normal1"/>
              <w:spacing w:before="40" w:after="40"/>
              <w:rPr>
                <w:rFonts w:ascii="Times New Roman" w:hAnsi="Times New Roman" w:cs="Times New Roman"/>
                <w:i/>
                <w:color w:val="auto"/>
              </w:rPr>
            </w:pPr>
            <w:r>
              <w:rPr>
                <w:rFonts w:ascii="Times New Roman" w:hAnsi="Times New Roman" w:cs="Times New Roman"/>
                <w:i/>
                <w:color w:val="auto"/>
              </w:rPr>
              <w:t>U.S. Green Building Council</w:t>
            </w:r>
          </w:p>
        </w:tc>
        <w:tc>
          <w:tcPr>
            <w:tcW w:w="2240" w:type="dxa"/>
            <w:tcBorders>
              <w:bottom w:val="single" w:sz="8" w:space="0" w:color="000000"/>
              <w:right w:val="single" w:sz="8" w:space="0" w:color="000000"/>
            </w:tcBorders>
            <w:tcMar>
              <w:top w:w="100" w:type="dxa"/>
              <w:left w:w="100" w:type="dxa"/>
              <w:bottom w:w="100" w:type="dxa"/>
              <w:right w:w="100" w:type="dxa"/>
            </w:tcMar>
          </w:tcPr>
          <w:p w:rsidR="00906D88" w:rsidRDefault="00906D88"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lastRenderedPageBreak/>
              <w:t>Peterson</w:t>
            </w:r>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Kent</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P2S Engineering</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Rohde</w:t>
            </w:r>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Jane</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i/>
                <w:color w:val="auto"/>
              </w:rPr>
            </w:pPr>
            <w:r>
              <w:rPr>
                <w:rFonts w:ascii="Times New Roman" w:hAnsi="Times New Roman" w:cs="Times New Roman"/>
                <w:i/>
                <w:color w:val="auto"/>
              </w:rPr>
              <w:t>JSR Associates</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Shane</w:t>
            </w:r>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Brendan</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i/>
                <w:color w:val="auto"/>
              </w:rPr>
              <w:t xml:space="preserve">Washington, DC Department of </w:t>
            </w:r>
            <w:r w:rsidRPr="00E159EF">
              <w:rPr>
                <w:rFonts w:ascii="Times New Roman" w:hAnsi="Times New Roman" w:cs="Times New Roman"/>
                <w:i/>
                <w:color w:val="auto"/>
              </w:rPr>
              <w:t>Env</w:t>
            </w:r>
            <w:r>
              <w:rPr>
                <w:rFonts w:ascii="Times New Roman" w:hAnsi="Times New Roman" w:cs="Times New Roman"/>
                <w:i/>
                <w:color w:val="auto"/>
              </w:rPr>
              <w:t>ironment</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Slaughter</w:t>
            </w:r>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Sarah</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Built Environment Coalition</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r w:rsidR="005856AB" w:rsidRPr="00E159EF" w:rsidTr="00906D88">
        <w:tc>
          <w:tcPr>
            <w:tcW w:w="12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proofErr w:type="spellStart"/>
            <w:r w:rsidRPr="00E159EF">
              <w:rPr>
                <w:rFonts w:ascii="Times New Roman" w:hAnsi="Times New Roman" w:cs="Times New Roman"/>
                <w:i/>
                <w:color w:val="auto"/>
              </w:rPr>
              <w:t>Wauters</w:t>
            </w:r>
            <w:proofErr w:type="spellEnd"/>
          </w:p>
        </w:tc>
        <w:tc>
          <w:tcPr>
            <w:tcW w:w="1203"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Drake</w:t>
            </w:r>
          </w:p>
        </w:tc>
        <w:tc>
          <w:tcPr>
            <w:tcW w:w="4647"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sidRPr="00E159EF">
              <w:rPr>
                <w:rFonts w:ascii="Times New Roman" w:hAnsi="Times New Roman" w:cs="Times New Roman"/>
                <w:i/>
                <w:color w:val="auto"/>
              </w:rPr>
              <w:t>Perkins</w:t>
            </w:r>
            <w:r w:rsidR="00906D88">
              <w:rPr>
                <w:rFonts w:ascii="Times New Roman" w:hAnsi="Times New Roman" w:cs="Times New Roman"/>
                <w:i/>
                <w:color w:val="auto"/>
              </w:rPr>
              <w:t xml:space="preserve"> </w:t>
            </w:r>
            <w:r w:rsidRPr="00E159EF">
              <w:rPr>
                <w:rFonts w:ascii="Times New Roman" w:hAnsi="Times New Roman" w:cs="Times New Roman"/>
                <w:i/>
                <w:color w:val="auto"/>
              </w:rPr>
              <w:t>+</w:t>
            </w:r>
            <w:r w:rsidR="00906D88">
              <w:rPr>
                <w:rFonts w:ascii="Times New Roman" w:hAnsi="Times New Roman" w:cs="Times New Roman"/>
                <w:i/>
                <w:color w:val="auto"/>
              </w:rPr>
              <w:t xml:space="preserve"> </w:t>
            </w:r>
            <w:r w:rsidRPr="00E159EF">
              <w:rPr>
                <w:rFonts w:ascii="Times New Roman" w:hAnsi="Times New Roman" w:cs="Times New Roman"/>
                <w:i/>
                <w:color w:val="auto"/>
              </w:rPr>
              <w:t>Will DC</w:t>
            </w:r>
          </w:p>
        </w:tc>
        <w:tc>
          <w:tcPr>
            <w:tcW w:w="2240" w:type="dxa"/>
            <w:tcBorders>
              <w:bottom w:val="single" w:sz="8" w:space="0" w:color="000000"/>
              <w:right w:val="single" w:sz="8" w:space="0" w:color="000000"/>
            </w:tcBorders>
            <w:tcMar>
              <w:top w:w="100" w:type="dxa"/>
              <w:left w:w="100" w:type="dxa"/>
              <w:bottom w:w="100" w:type="dxa"/>
              <w:right w:w="100" w:type="dxa"/>
            </w:tcMar>
          </w:tcPr>
          <w:p w:rsidR="005856AB" w:rsidRPr="00E159EF" w:rsidRDefault="005856AB" w:rsidP="0011070B">
            <w:pPr>
              <w:pStyle w:val="Normal1"/>
              <w:spacing w:before="40" w:after="40"/>
              <w:rPr>
                <w:rFonts w:ascii="Times New Roman" w:hAnsi="Times New Roman" w:cs="Times New Roman"/>
                <w:color w:val="auto"/>
              </w:rPr>
            </w:pPr>
            <w:r>
              <w:rPr>
                <w:rFonts w:ascii="Times New Roman" w:hAnsi="Times New Roman" w:cs="Times New Roman"/>
                <w:color w:val="auto"/>
              </w:rPr>
              <w:t>Member, Non-Federal</w:t>
            </w:r>
          </w:p>
        </w:tc>
      </w:tr>
    </w:tbl>
    <w:p w:rsidR="00BF195A" w:rsidRPr="00E159EF" w:rsidRDefault="00BF195A" w:rsidP="00BF195A">
      <w:pPr>
        <w:pStyle w:val="Normal1"/>
        <w:rPr>
          <w:rFonts w:ascii="Times New Roman" w:hAnsi="Times New Roman" w:cs="Times New Roman"/>
          <w:color w:val="auto"/>
        </w:rPr>
      </w:pPr>
    </w:p>
    <w:p w:rsidR="00BF195A" w:rsidRDefault="00BF195A" w:rsidP="00BF195A">
      <w:pPr>
        <w:spacing w:before="0" w:after="0"/>
        <w:rPr>
          <w:rFonts w:ascii="Times New Roman" w:eastAsia="Calibri" w:hAnsi="Times New Roman" w:cs="Times New Roman"/>
          <w:b/>
          <w:color w:val="auto"/>
          <w:sz w:val="24"/>
        </w:rPr>
      </w:pPr>
      <w:r>
        <w:rPr>
          <w:rFonts w:ascii="Times New Roman" w:eastAsia="Calibri" w:hAnsi="Times New Roman" w:cs="Times New Roman"/>
          <w:color w:val="auto"/>
          <w:sz w:val="24"/>
        </w:rPr>
        <w:br w:type="page"/>
      </w:r>
    </w:p>
    <w:p w:rsidR="000E050E" w:rsidRPr="00502FAD" w:rsidRDefault="00BA152E" w:rsidP="00502FAD">
      <w:pPr>
        <w:pStyle w:val="Heading2"/>
        <w:spacing w:before="360" w:after="80"/>
        <w:contextualSpacing w:val="0"/>
        <w:rPr>
          <w:rFonts w:ascii="Times New Roman" w:eastAsia="Calibri" w:hAnsi="Times New Roman" w:cs="Times New Roman"/>
          <w:color w:val="auto"/>
          <w:sz w:val="24"/>
        </w:rPr>
      </w:pPr>
      <w:r>
        <w:rPr>
          <w:rFonts w:ascii="Times New Roman" w:eastAsia="Calibri" w:hAnsi="Times New Roman" w:cs="Times New Roman"/>
          <w:color w:val="auto"/>
          <w:sz w:val="24"/>
        </w:rPr>
        <w:lastRenderedPageBreak/>
        <w:t xml:space="preserve">Appendix </w:t>
      </w:r>
      <w:r w:rsidR="00BF195A">
        <w:rPr>
          <w:rFonts w:ascii="Times New Roman" w:eastAsia="Calibri" w:hAnsi="Times New Roman" w:cs="Times New Roman"/>
          <w:color w:val="auto"/>
          <w:sz w:val="24"/>
        </w:rPr>
        <w:t>B</w:t>
      </w:r>
      <w:r>
        <w:rPr>
          <w:rFonts w:ascii="Times New Roman" w:eastAsia="Calibri" w:hAnsi="Times New Roman" w:cs="Times New Roman"/>
          <w:color w:val="auto"/>
          <w:sz w:val="24"/>
        </w:rPr>
        <w:t xml:space="preserve">: </w:t>
      </w:r>
      <w:r w:rsidR="004C0670">
        <w:rPr>
          <w:rFonts w:ascii="Times New Roman" w:eastAsia="Calibri" w:hAnsi="Times New Roman" w:cs="Times New Roman"/>
          <w:color w:val="auto"/>
          <w:sz w:val="24"/>
        </w:rPr>
        <w:t xml:space="preserve">NZE </w:t>
      </w:r>
      <w:r>
        <w:rPr>
          <w:rFonts w:ascii="Times New Roman" w:eastAsia="Calibri" w:hAnsi="Times New Roman" w:cs="Times New Roman"/>
          <w:color w:val="auto"/>
          <w:sz w:val="24"/>
        </w:rPr>
        <w:t xml:space="preserve">Task </w:t>
      </w:r>
      <w:r w:rsidR="009B3751">
        <w:rPr>
          <w:rFonts w:ascii="Times New Roman" w:eastAsia="Calibri" w:hAnsi="Times New Roman" w:cs="Times New Roman"/>
          <w:color w:val="auto"/>
          <w:sz w:val="24"/>
        </w:rPr>
        <w:t>Group</w:t>
      </w:r>
      <w:r>
        <w:rPr>
          <w:rFonts w:ascii="Times New Roman" w:eastAsia="Calibri" w:hAnsi="Times New Roman" w:cs="Times New Roman"/>
          <w:color w:val="auto"/>
          <w:sz w:val="24"/>
        </w:rPr>
        <w:t xml:space="preserve"> Members</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80"/>
        <w:gridCol w:w="1170"/>
        <w:gridCol w:w="3150"/>
        <w:gridCol w:w="3860"/>
      </w:tblGrid>
      <w:tr w:rsidR="000E050E" w:rsidRPr="00E159EF" w:rsidTr="0053713F">
        <w:tc>
          <w:tcPr>
            <w:tcW w:w="11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Last name</w:t>
            </w:r>
          </w:p>
        </w:tc>
        <w:tc>
          <w:tcPr>
            <w:tcW w:w="1170"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First name</w:t>
            </w:r>
          </w:p>
        </w:tc>
        <w:tc>
          <w:tcPr>
            <w:tcW w:w="3150"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Organization</w:t>
            </w:r>
          </w:p>
        </w:tc>
        <w:tc>
          <w:tcPr>
            <w:tcW w:w="3860"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Title</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Burgoyne*</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Default="0053713F" w:rsidP="0011070B">
            <w:pPr>
              <w:pStyle w:val="Normal1"/>
              <w:rPr>
                <w:rFonts w:ascii="Times New Roman" w:hAnsi="Times New Roman" w:cs="Times New Roman"/>
                <w:i/>
                <w:color w:val="auto"/>
              </w:rPr>
            </w:pPr>
            <w:r>
              <w:rPr>
                <w:rFonts w:ascii="Times New Roman" w:hAnsi="Times New Roman" w:cs="Times New Roman"/>
                <w:i/>
                <w:color w:val="auto"/>
              </w:rPr>
              <w:t>Dan</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Default="0053713F" w:rsidP="0011070B">
            <w:pPr>
              <w:pStyle w:val="Normal1"/>
              <w:rPr>
                <w:rFonts w:ascii="Times New Roman" w:hAnsi="Times New Roman" w:cs="Times New Roman"/>
                <w:i/>
                <w:color w:val="auto"/>
              </w:rPr>
            </w:pPr>
            <w:r>
              <w:rPr>
                <w:rFonts w:ascii="Times New Roman" w:hAnsi="Times New Roman" w:cs="Times New Roman"/>
                <w:i/>
                <w:color w:val="auto"/>
              </w:rPr>
              <w:t>State of California, Department of General Services</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Sustainability Manager</w:t>
            </w:r>
          </w:p>
        </w:tc>
      </w:tr>
      <w:tr w:rsidR="00906D88"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06D88" w:rsidRPr="00E159EF" w:rsidRDefault="00906D88" w:rsidP="0011070B">
            <w:pPr>
              <w:pStyle w:val="Normal1"/>
              <w:rPr>
                <w:rFonts w:ascii="Times New Roman" w:hAnsi="Times New Roman" w:cs="Times New Roman"/>
                <w:color w:val="auto"/>
              </w:rPr>
            </w:pPr>
            <w:r w:rsidRPr="00E159EF">
              <w:rPr>
                <w:rFonts w:ascii="Times New Roman" w:hAnsi="Times New Roman" w:cs="Times New Roman"/>
                <w:i/>
                <w:color w:val="auto"/>
              </w:rPr>
              <w:t>Cordova</w:t>
            </w:r>
            <w:r w:rsidR="0053713F">
              <w:rPr>
                <w:rFonts w:ascii="Times New Roman" w:hAnsi="Times New Roman" w:cs="Times New Roman"/>
                <w:i/>
                <w:color w:val="auto"/>
              </w:rPr>
              <w:t>*</w:t>
            </w:r>
            <w:r w:rsidR="0053713F">
              <w:rPr>
                <w:rFonts w:ascii="Times New Roman" w:hAnsi="Times New Roman" w:cs="Times New Roman"/>
                <w:i/>
                <w:color w:val="auto"/>
                <w:vertAlign w:val="superscript"/>
              </w:rPr>
              <w:t>o</w:t>
            </w:r>
          </w:p>
        </w:tc>
        <w:tc>
          <w:tcPr>
            <w:tcW w:w="1170" w:type="dxa"/>
            <w:tcBorders>
              <w:bottom w:val="single" w:sz="8" w:space="0" w:color="000000"/>
              <w:right w:val="single" w:sz="8" w:space="0" w:color="000000"/>
            </w:tcBorders>
            <w:tcMar>
              <w:top w:w="100" w:type="dxa"/>
              <w:left w:w="100" w:type="dxa"/>
              <w:bottom w:w="100" w:type="dxa"/>
              <w:right w:w="100" w:type="dxa"/>
            </w:tcMar>
          </w:tcPr>
          <w:p w:rsidR="00906D88" w:rsidRPr="00E159EF" w:rsidRDefault="00906D88" w:rsidP="0011070B">
            <w:pPr>
              <w:pStyle w:val="Normal1"/>
              <w:rPr>
                <w:rFonts w:ascii="Times New Roman" w:hAnsi="Times New Roman" w:cs="Times New Roman"/>
                <w:color w:val="auto"/>
              </w:rPr>
            </w:pPr>
            <w:r>
              <w:rPr>
                <w:rFonts w:ascii="Times New Roman" w:hAnsi="Times New Roman" w:cs="Times New Roman"/>
                <w:i/>
                <w:color w:val="auto"/>
              </w:rPr>
              <w:t>Cynthia</w:t>
            </w:r>
          </w:p>
        </w:tc>
        <w:tc>
          <w:tcPr>
            <w:tcW w:w="3150" w:type="dxa"/>
            <w:tcBorders>
              <w:bottom w:val="single" w:sz="8" w:space="0" w:color="000000"/>
              <w:right w:val="single" w:sz="8" w:space="0" w:color="000000"/>
            </w:tcBorders>
            <w:tcMar>
              <w:top w:w="100" w:type="dxa"/>
              <w:left w:w="100" w:type="dxa"/>
              <w:bottom w:w="100" w:type="dxa"/>
              <w:right w:w="100" w:type="dxa"/>
            </w:tcMar>
          </w:tcPr>
          <w:p w:rsidR="00906D88" w:rsidRPr="00E159EF" w:rsidRDefault="00906D88" w:rsidP="0011070B">
            <w:pPr>
              <w:pStyle w:val="Normal1"/>
              <w:rPr>
                <w:rFonts w:ascii="Times New Roman" w:hAnsi="Times New Roman" w:cs="Times New Roman"/>
                <w:color w:val="auto"/>
              </w:rPr>
            </w:pPr>
            <w:r>
              <w:rPr>
                <w:rFonts w:ascii="Times New Roman" w:hAnsi="Times New Roman" w:cs="Times New Roman"/>
                <w:i/>
                <w:color w:val="auto"/>
              </w:rPr>
              <w:t>Department of Veterans Affairs (VA)</w:t>
            </w:r>
          </w:p>
        </w:tc>
        <w:tc>
          <w:tcPr>
            <w:tcW w:w="3860" w:type="dxa"/>
            <w:tcBorders>
              <w:bottom w:val="single" w:sz="8" w:space="0" w:color="000000"/>
              <w:right w:val="single" w:sz="8" w:space="0" w:color="000000"/>
            </w:tcBorders>
            <w:tcMar>
              <w:top w:w="100" w:type="dxa"/>
              <w:left w:w="100" w:type="dxa"/>
              <w:bottom w:w="100" w:type="dxa"/>
              <w:right w:w="100" w:type="dxa"/>
            </w:tcMar>
          </w:tcPr>
          <w:p w:rsidR="00906D88" w:rsidRPr="00E159EF" w:rsidRDefault="00906D88" w:rsidP="0011070B">
            <w:pPr>
              <w:pStyle w:val="Normal1"/>
              <w:rPr>
                <w:rFonts w:ascii="Times New Roman" w:hAnsi="Times New Roman" w:cs="Times New Roman"/>
                <w:color w:val="auto"/>
              </w:rPr>
            </w:pPr>
            <w:r w:rsidRPr="00E159EF">
              <w:rPr>
                <w:rFonts w:ascii="Times New Roman" w:hAnsi="Times New Roman" w:cs="Times New Roman"/>
                <w:i/>
                <w:color w:val="auto"/>
              </w:rPr>
              <w:t>Director, Green Mgmt Program Service</w:t>
            </w:r>
          </w:p>
        </w:tc>
      </w:tr>
      <w:tr w:rsidR="000E050E"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Green</w:t>
            </w:r>
            <w:r w:rsidR="0053713F">
              <w:rPr>
                <w:rFonts w:ascii="Times New Roman" w:hAnsi="Times New Roman" w:cs="Times New Roman"/>
                <w:i/>
                <w:color w:val="auto"/>
              </w:rPr>
              <w:t>*</w:t>
            </w:r>
            <w:r w:rsidR="0053713F">
              <w:rPr>
                <w:rFonts w:ascii="Times New Roman" w:hAnsi="Times New Roman" w:cs="Times New Roman"/>
                <w:i/>
                <w:color w:val="auto"/>
                <w:vertAlign w:val="superscript"/>
              </w:rPr>
              <w:t>o</w:t>
            </w:r>
          </w:p>
        </w:tc>
        <w:tc>
          <w:tcPr>
            <w:tcW w:w="1170" w:type="dxa"/>
            <w:tcBorders>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Bucky</w:t>
            </w:r>
          </w:p>
        </w:tc>
        <w:tc>
          <w:tcPr>
            <w:tcW w:w="3150" w:type="dxa"/>
            <w:tcBorders>
              <w:bottom w:val="single" w:sz="8" w:space="0" w:color="000000"/>
              <w:right w:val="single" w:sz="8" w:space="0" w:color="000000"/>
            </w:tcBorders>
            <w:tcMar>
              <w:top w:w="100" w:type="dxa"/>
              <w:left w:w="100" w:type="dxa"/>
              <w:bottom w:w="100" w:type="dxa"/>
              <w:right w:w="100" w:type="dxa"/>
            </w:tcMar>
          </w:tcPr>
          <w:p w:rsidR="000E050E" w:rsidRPr="00E159EF" w:rsidRDefault="00906D88" w:rsidP="0011070B">
            <w:pPr>
              <w:pStyle w:val="Normal1"/>
              <w:rPr>
                <w:rFonts w:ascii="Times New Roman" w:hAnsi="Times New Roman" w:cs="Times New Roman"/>
                <w:color w:val="auto"/>
              </w:rPr>
            </w:pPr>
            <w:r>
              <w:rPr>
                <w:rFonts w:ascii="Times New Roman" w:hAnsi="Times New Roman" w:cs="Times New Roman"/>
                <w:i/>
                <w:color w:val="auto"/>
              </w:rPr>
              <w:t>U.S. Environmental Protection Agency (EPA)</w:t>
            </w:r>
          </w:p>
        </w:tc>
        <w:tc>
          <w:tcPr>
            <w:tcW w:w="3860" w:type="dxa"/>
            <w:tcBorders>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Chief, Sustainable Facilities Practices Branch</w:t>
            </w:r>
          </w:p>
        </w:tc>
      </w:tr>
      <w:tr w:rsidR="000E050E"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proofErr w:type="spellStart"/>
            <w:r w:rsidRPr="00E159EF">
              <w:rPr>
                <w:rFonts w:ascii="Times New Roman" w:hAnsi="Times New Roman" w:cs="Times New Roman"/>
                <w:i/>
                <w:color w:val="auto"/>
              </w:rPr>
              <w:t>Dutta</w:t>
            </w:r>
            <w:proofErr w:type="spellEnd"/>
            <w:r w:rsidR="0053713F">
              <w:rPr>
                <w:rFonts w:ascii="Times New Roman" w:hAnsi="Times New Roman" w:cs="Times New Roman"/>
                <w:i/>
                <w:color w:val="auto"/>
              </w:rPr>
              <w:t>*</w:t>
            </w:r>
            <w:r w:rsidR="0053713F">
              <w:rPr>
                <w:rFonts w:ascii="Times New Roman" w:hAnsi="Times New Roman" w:cs="Times New Roman"/>
                <w:i/>
                <w:color w:val="auto"/>
                <w:vertAlign w:val="superscript"/>
              </w:rPr>
              <w:t>o</w:t>
            </w:r>
          </w:p>
        </w:tc>
        <w:tc>
          <w:tcPr>
            <w:tcW w:w="1170" w:type="dxa"/>
            <w:tcBorders>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proofErr w:type="spellStart"/>
            <w:r w:rsidRPr="00E159EF">
              <w:rPr>
                <w:rFonts w:ascii="Times New Roman" w:hAnsi="Times New Roman" w:cs="Times New Roman"/>
                <w:i/>
                <w:color w:val="auto"/>
              </w:rPr>
              <w:t>Projjal</w:t>
            </w:r>
            <w:proofErr w:type="spellEnd"/>
          </w:p>
        </w:tc>
        <w:tc>
          <w:tcPr>
            <w:tcW w:w="3150" w:type="dxa"/>
            <w:tcBorders>
              <w:bottom w:val="single" w:sz="8" w:space="0" w:color="000000"/>
              <w:right w:val="single" w:sz="8" w:space="0" w:color="000000"/>
            </w:tcBorders>
            <w:tcMar>
              <w:top w:w="100" w:type="dxa"/>
              <w:left w:w="100" w:type="dxa"/>
              <w:bottom w:w="100" w:type="dxa"/>
              <w:right w:w="100" w:type="dxa"/>
            </w:tcMar>
          </w:tcPr>
          <w:p w:rsidR="000E050E" w:rsidRPr="00E159EF" w:rsidRDefault="00906D88" w:rsidP="0011070B">
            <w:pPr>
              <w:pStyle w:val="Normal1"/>
              <w:rPr>
                <w:rFonts w:ascii="Times New Roman" w:hAnsi="Times New Roman" w:cs="Times New Roman"/>
                <w:color w:val="auto"/>
              </w:rPr>
            </w:pPr>
            <w:r>
              <w:rPr>
                <w:rFonts w:ascii="Times New Roman" w:hAnsi="Times New Roman" w:cs="Times New Roman"/>
                <w:i/>
                <w:color w:val="auto"/>
              </w:rPr>
              <w:t>New York State Metropolitan Transportation Authority</w:t>
            </w:r>
          </w:p>
        </w:tc>
        <w:tc>
          <w:tcPr>
            <w:tcW w:w="3860" w:type="dxa"/>
            <w:tcBorders>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 xml:space="preserve">Director, Sustainability Initiatives </w:t>
            </w:r>
          </w:p>
        </w:tc>
      </w:tr>
      <w:tr w:rsidR="000E050E"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Fox</w:t>
            </w:r>
            <w:r w:rsidR="0053713F">
              <w:rPr>
                <w:rFonts w:ascii="Times New Roman" w:hAnsi="Times New Roman" w:cs="Times New Roman"/>
                <w:i/>
                <w:color w:val="auto"/>
              </w:rPr>
              <w:t>*</w:t>
            </w:r>
            <w:r w:rsidR="0053713F">
              <w:rPr>
                <w:rFonts w:ascii="Times New Roman" w:hAnsi="Times New Roman" w:cs="Times New Roman"/>
                <w:i/>
                <w:color w:val="auto"/>
                <w:vertAlign w:val="superscript"/>
              </w:rPr>
              <w:t>o</w:t>
            </w:r>
          </w:p>
        </w:tc>
        <w:tc>
          <w:tcPr>
            <w:tcW w:w="1170" w:type="dxa"/>
            <w:tcBorders>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Bob</w:t>
            </w:r>
          </w:p>
        </w:tc>
        <w:tc>
          <w:tcPr>
            <w:tcW w:w="3150" w:type="dxa"/>
            <w:tcBorders>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Cook Fox Architects</w:t>
            </w:r>
          </w:p>
        </w:tc>
        <w:tc>
          <w:tcPr>
            <w:tcW w:w="3860" w:type="dxa"/>
            <w:tcBorders>
              <w:bottom w:val="single" w:sz="8" w:space="0" w:color="000000"/>
              <w:right w:val="single" w:sz="8" w:space="0" w:color="000000"/>
            </w:tcBorders>
            <w:tcMar>
              <w:top w:w="100" w:type="dxa"/>
              <w:left w:w="100" w:type="dxa"/>
              <w:bottom w:w="100" w:type="dxa"/>
              <w:right w:w="100" w:type="dxa"/>
            </w:tcMar>
          </w:tcPr>
          <w:p w:rsidR="000E050E" w:rsidRPr="00E159EF" w:rsidRDefault="000E050E" w:rsidP="0011070B">
            <w:pPr>
              <w:pStyle w:val="Normal1"/>
              <w:rPr>
                <w:rFonts w:ascii="Times New Roman" w:hAnsi="Times New Roman" w:cs="Times New Roman"/>
                <w:color w:val="auto"/>
              </w:rPr>
            </w:pPr>
            <w:r w:rsidRPr="00E159EF">
              <w:rPr>
                <w:rFonts w:ascii="Times New Roman" w:hAnsi="Times New Roman" w:cs="Times New Roman"/>
                <w:i/>
                <w:color w:val="auto"/>
              </w:rPr>
              <w:t>Partner</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Jensen*</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Sarah</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U.S. Department of Energy</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Federal Energy Management Program</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proofErr w:type="spellStart"/>
            <w:r w:rsidRPr="00E159EF">
              <w:rPr>
                <w:rFonts w:ascii="Times New Roman" w:hAnsi="Times New Roman" w:cs="Times New Roman"/>
                <w:i/>
                <w:color w:val="auto"/>
              </w:rPr>
              <w:t>Kaneda</w:t>
            </w:r>
            <w:proofErr w:type="spellEnd"/>
            <w:r>
              <w:rPr>
                <w:rFonts w:ascii="Times New Roman" w:hAnsi="Times New Roman" w:cs="Times New Roman"/>
                <w:i/>
                <w:color w:val="auto"/>
                <w:vertAlign w:val="superscript"/>
              </w:rPr>
              <w:t xml:space="preserve"> o</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David</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Integral Group</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Managing Principal</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proofErr w:type="spellStart"/>
            <w:r w:rsidRPr="00E159EF">
              <w:rPr>
                <w:rFonts w:ascii="Times New Roman" w:hAnsi="Times New Roman" w:cs="Times New Roman"/>
                <w:i/>
                <w:color w:val="auto"/>
              </w:rPr>
              <w:t>Kienzl</w:t>
            </w:r>
            <w:proofErr w:type="spellEnd"/>
            <w:r>
              <w:rPr>
                <w:rFonts w:ascii="Times New Roman" w:hAnsi="Times New Roman" w:cs="Times New Roman"/>
                <w:i/>
                <w:color w:val="auto"/>
              </w:rPr>
              <w:t>*</w:t>
            </w:r>
            <w:r>
              <w:rPr>
                <w:rFonts w:ascii="Times New Roman" w:hAnsi="Times New Roman" w:cs="Times New Roman"/>
                <w:i/>
                <w:color w:val="auto"/>
                <w:vertAlign w:val="superscript"/>
              </w:rPr>
              <w:t>o</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proofErr w:type="spellStart"/>
            <w:r w:rsidRPr="00E159EF">
              <w:rPr>
                <w:rFonts w:ascii="Times New Roman" w:hAnsi="Times New Roman" w:cs="Times New Roman"/>
                <w:i/>
                <w:color w:val="auto"/>
              </w:rPr>
              <w:t>Nico</w:t>
            </w:r>
            <w:proofErr w:type="spellEnd"/>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Atelier Ten</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Director</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proofErr w:type="spellStart"/>
            <w:r>
              <w:rPr>
                <w:rFonts w:ascii="Times New Roman" w:hAnsi="Times New Roman" w:cs="Times New Roman"/>
                <w:i/>
                <w:color w:val="auto"/>
              </w:rPr>
              <w:t>Maloskey</w:t>
            </w:r>
            <w:proofErr w:type="spellEnd"/>
            <w:r>
              <w:rPr>
                <w:rFonts w:ascii="Times New Roman" w:hAnsi="Times New Roman" w:cs="Times New Roman"/>
                <w:i/>
                <w:color w:val="auto"/>
              </w:rPr>
              <w:t>*</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Dennis</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Pennsylvania Governor’s Green Government Council (GGGC)</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Director of Sustainable Engineering Development</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McNabb</w:t>
            </w:r>
            <w:r>
              <w:rPr>
                <w:rFonts w:ascii="Times New Roman" w:hAnsi="Times New Roman" w:cs="Times New Roman"/>
                <w:i/>
                <w:color w:val="auto"/>
                <w:vertAlign w:val="superscript"/>
              </w:rPr>
              <w:t xml:space="preserve"> o</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Nancy</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Nat</w:t>
            </w:r>
            <w:r>
              <w:rPr>
                <w:rFonts w:ascii="Times New Roman" w:hAnsi="Times New Roman" w:cs="Times New Roman"/>
                <w:i/>
                <w:color w:val="auto"/>
              </w:rPr>
              <w:t>ional</w:t>
            </w:r>
            <w:r w:rsidRPr="00E159EF">
              <w:rPr>
                <w:rFonts w:ascii="Times New Roman" w:hAnsi="Times New Roman" w:cs="Times New Roman"/>
                <w:i/>
                <w:color w:val="auto"/>
              </w:rPr>
              <w:t xml:space="preserve"> Institute of Standards &amp; Technology (NIST)</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Manager, Building &amp; Fire Codes &amp; Standards</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proofErr w:type="spellStart"/>
            <w:r>
              <w:rPr>
                <w:rFonts w:ascii="Times New Roman" w:hAnsi="Times New Roman" w:cs="Times New Roman"/>
                <w:i/>
                <w:color w:val="auto"/>
              </w:rPr>
              <w:t>Nadel</w:t>
            </w:r>
            <w:proofErr w:type="spellEnd"/>
            <w:r>
              <w:rPr>
                <w:rFonts w:ascii="Times New Roman" w:hAnsi="Times New Roman" w:cs="Times New Roman"/>
                <w:i/>
                <w:color w:val="auto"/>
              </w:rPr>
              <w:t>*</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Barbara</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 xml:space="preserve">Barbara </w:t>
            </w:r>
            <w:proofErr w:type="spellStart"/>
            <w:r>
              <w:rPr>
                <w:rFonts w:ascii="Times New Roman" w:hAnsi="Times New Roman" w:cs="Times New Roman"/>
                <w:i/>
                <w:color w:val="auto"/>
              </w:rPr>
              <w:t>Nadel</w:t>
            </w:r>
            <w:proofErr w:type="spellEnd"/>
            <w:r>
              <w:rPr>
                <w:rFonts w:ascii="Times New Roman" w:hAnsi="Times New Roman" w:cs="Times New Roman"/>
                <w:i/>
                <w:color w:val="auto"/>
              </w:rPr>
              <w:t xml:space="preserve"> Architects</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Principal</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proofErr w:type="spellStart"/>
            <w:r w:rsidRPr="00E159EF">
              <w:rPr>
                <w:rFonts w:ascii="Times New Roman" w:hAnsi="Times New Roman" w:cs="Times New Roman"/>
                <w:i/>
                <w:color w:val="auto"/>
              </w:rPr>
              <w:t>Olgyay</w:t>
            </w:r>
            <w:proofErr w:type="spellEnd"/>
            <w:r>
              <w:rPr>
                <w:rFonts w:ascii="Times New Roman" w:hAnsi="Times New Roman" w:cs="Times New Roman"/>
                <w:i/>
                <w:color w:val="auto"/>
                <w:vertAlign w:val="superscript"/>
              </w:rPr>
              <w:t xml:space="preserve"> o</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Victor</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Rocky Mountain Institute</w:t>
            </w:r>
            <w:bookmarkStart w:id="10" w:name="_GoBack"/>
            <w:bookmarkEnd w:id="10"/>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Principal</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Peterson</w:t>
            </w:r>
            <w:r>
              <w:rPr>
                <w:rFonts w:ascii="Times New Roman" w:hAnsi="Times New Roman" w:cs="Times New Roman"/>
                <w:i/>
                <w:color w:val="auto"/>
              </w:rPr>
              <w:t>*</w:t>
            </w:r>
            <w:r>
              <w:rPr>
                <w:rFonts w:ascii="Times New Roman" w:hAnsi="Times New Roman" w:cs="Times New Roman"/>
                <w:i/>
                <w:color w:val="auto"/>
                <w:vertAlign w:val="superscript"/>
              </w:rPr>
              <w:t>o</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Kent</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P2S Engineering</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Chief Engineer</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Shane</w:t>
            </w:r>
            <w:r>
              <w:rPr>
                <w:rFonts w:ascii="Times New Roman" w:hAnsi="Times New Roman" w:cs="Times New Roman"/>
                <w:i/>
                <w:color w:val="auto"/>
                <w:vertAlign w:val="superscript"/>
              </w:rPr>
              <w:t xml:space="preserve"> o</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Brendan</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Pr>
                <w:rFonts w:ascii="Times New Roman" w:hAnsi="Times New Roman" w:cs="Times New Roman"/>
                <w:i/>
                <w:color w:val="auto"/>
              </w:rPr>
              <w:t xml:space="preserve">Washington, DC Department of </w:t>
            </w:r>
            <w:r w:rsidRPr="00E159EF">
              <w:rPr>
                <w:rFonts w:ascii="Times New Roman" w:hAnsi="Times New Roman" w:cs="Times New Roman"/>
                <w:i/>
                <w:color w:val="auto"/>
              </w:rPr>
              <w:t>Env</w:t>
            </w:r>
            <w:r>
              <w:rPr>
                <w:rFonts w:ascii="Times New Roman" w:hAnsi="Times New Roman" w:cs="Times New Roman"/>
                <w:i/>
                <w:color w:val="auto"/>
              </w:rPr>
              <w:t>ironment</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Chief, Office of Policy and Sustainability</w:t>
            </w:r>
          </w:p>
        </w:tc>
      </w:tr>
      <w:tr w:rsidR="0053713F" w:rsidRPr="00E159EF" w:rsidTr="0053713F">
        <w:tc>
          <w:tcPr>
            <w:tcW w:w="11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Slaughter</w:t>
            </w:r>
            <w:r>
              <w:rPr>
                <w:rFonts w:ascii="Times New Roman" w:hAnsi="Times New Roman" w:cs="Times New Roman"/>
                <w:i/>
                <w:color w:val="auto"/>
                <w:vertAlign w:val="superscript"/>
              </w:rPr>
              <w:t xml:space="preserve"> o</w:t>
            </w:r>
          </w:p>
        </w:tc>
        <w:tc>
          <w:tcPr>
            <w:tcW w:w="117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Sarah</w:t>
            </w:r>
          </w:p>
        </w:tc>
        <w:tc>
          <w:tcPr>
            <w:tcW w:w="315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Built Environment Coalition</w:t>
            </w:r>
          </w:p>
        </w:tc>
        <w:tc>
          <w:tcPr>
            <w:tcW w:w="3860" w:type="dxa"/>
            <w:tcBorders>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President</w:t>
            </w:r>
          </w:p>
        </w:tc>
      </w:tr>
      <w:tr w:rsidR="0053713F" w:rsidRPr="00E159EF" w:rsidTr="0053713F">
        <w:tc>
          <w:tcPr>
            <w:tcW w:w="1180" w:type="dxa"/>
            <w:tcBorders>
              <w:left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Stamper*</w:t>
            </w:r>
          </w:p>
        </w:tc>
        <w:tc>
          <w:tcPr>
            <w:tcW w:w="1170" w:type="dxa"/>
            <w:tcBorders>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Christina</w:t>
            </w:r>
          </w:p>
        </w:tc>
        <w:tc>
          <w:tcPr>
            <w:tcW w:w="3150" w:type="dxa"/>
            <w:tcBorders>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Department of Veterans Affairs (VA)</w:t>
            </w:r>
          </w:p>
        </w:tc>
        <w:tc>
          <w:tcPr>
            <w:tcW w:w="3860" w:type="dxa"/>
            <w:tcBorders>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i/>
                <w:color w:val="auto"/>
              </w:rPr>
            </w:pPr>
            <w:r>
              <w:rPr>
                <w:rFonts w:ascii="Times New Roman" w:hAnsi="Times New Roman" w:cs="Times New Roman"/>
                <w:i/>
                <w:color w:val="auto"/>
              </w:rPr>
              <w:t>Green Management Program Service</w:t>
            </w:r>
          </w:p>
        </w:tc>
      </w:tr>
      <w:tr w:rsidR="0053713F" w:rsidRPr="00E159EF" w:rsidTr="0053713F">
        <w:tc>
          <w:tcPr>
            <w:tcW w:w="1180" w:type="dxa"/>
            <w:tcBorders>
              <w:left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proofErr w:type="spellStart"/>
            <w:r w:rsidRPr="00E159EF">
              <w:rPr>
                <w:rFonts w:ascii="Times New Roman" w:hAnsi="Times New Roman" w:cs="Times New Roman"/>
                <w:i/>
                <w:color w:val="auto"/>
              </w:rPr>
              <w:t>Wauters</w:t>
            </w:r>
            <w:proofErr w:type="spellEnd"/>
            <w:r>
              <w:rPr>
                <w:rFonts w:ascii="Times New Roman" w:hAnsi="Times New Roman" w:cs="Times New Roman"/>
                <w:i/>
                <w:color w:val="auto"/>
                <w:vertAlign w:val="superscript"/>
              </w:rPr>
              <w:t xml:space="preserve"> o</w:t>
            </w:r>
          </w:p>
        </w:tc>
        <w:tc>
          <w:tcPr>
            <w:tcW w:w="1170" w:type="dxa"/>
            <w:tcBorders>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Drake</w:t>
            </w:r>
          </w:p>
        </w:tc>
        <w:tc>
          <w:tcPr>
            <w:tcW w:w="3150" w:type="dxa"/>
            <w:tcBorders>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Perkins</w:t>
            </w:r>
            <w:r>
              <w:rPr>
                <w:rFonts w:ascii="Times New Roman" w:hAnsi="Times New Roman" w:cs="Times New Roman"/>
                <w:i/>
                <w:color w:val="auto"/>
              </w:rPr>
              <w:t xml:space="preserve"> </w:t>
            </w:r>
            <w:r w:rsidRPr="00E159EF">
              <w:rPr>
                <w:rFonts w:ascii="Times New Roman" w:hAnsi="Times New Roman" w:cs="Times New Roman"/>
                <w:i/>
                <w:color w:val="auto"/>
              </w:rPr>
              <w:t>+</w:t>
            </w:r>
            <w:r>
              <w:rPr>
                <w:rFonts w:ascii="Times New Roman" w:hAnsi="Times New Roman" w:cs="Times New Roman"/>
                <w:i/>
                <w:color w:val="auto"/>
              </w:rPr>
              <w:t xml:space="preserve"> </w:t>
            </w:r>
            <w:r w:rsidRPr="00E159EF">
              <w:rPr>
                <w:rFonts w:ascii="Times New Roman" w:hAnsi="Times New Roman" w:cs="Times New Roman"/>
                <w:i/>
                <w:color w:val="auto"/>
              </w:rPr>
              <w:t>Will DC</w:t>
            </w:r>
          </w:p>
        </w:tc>
        <w:tc>
          <w:tcPr>
            <w:tcW w:w="3860" w:type="dxa"/>
            <w:tcBorders>
              <w:right w:val="single" w:sz="8" w:space="0" w:color="000000"/>
            </w:tcBorders>
            <w:tcMar>
              <w:top w:w="100" w:type="dxa"/>
              <w:left w:w="100" w:type="dxa"/>
              <w:bottom w:w="100" w:type="dxa"/>
              <w:right w:w="100" w:type="dxa"/>
            </w:tcMar>
          </w:tcPr>
          <w:p w:rsidR="0053713F" w:rsidRPr="00E159EF" w:rsidRDefault="0053713F" w:rsidP="0011070B">
            <w:pPr>
              <w:pStyle w:val="Normal1"/>
              <w:rPr>
                <w:rFonts w:ascii="Times New Roman" w:hAnsi="Times New Roman" w:cs="Times New Roman"/>
                <w:color w:val="auto"/>
              </w:rPr>
            </w:pPr>
            <w:r w:rsidRPr="00E159EF">
              <w:rPr>
                <w:rFonts w:ascii="Times New Roman" w:hAnsi="Times New Roman" w:cs="Times New Roman"/>
                <w:i/>
                <w:color w:val="auto"/>
              </w:rPr>
              <w:t xml:space="preserve">Technical Director, Associate Principal </w:t>
            </w:r>
          </w:p>
        </w:tc>
      </w:tr>
      <w:tr w:rsidR="0053713F" w:rsidRPr="00E159EF" w:rsidTr="00191A95">
        <w:trPr>
          <w:trHeight w:val="47"/>
        </w:trPr>
        <w:tc>
          <w:tcPr>
            <w:tcW w:w="9360" w:type="dxa"/>
            <w:gridSpan w:val="4"/>
            <w:tcBorders>
              <w:left w:val="single" w:sz="8" w:space="0" w:color="000000"/>
              <w:bottom w:val="single" w:sz="8" w:space="0" w:color="000000"/>
              <w:right w:val="single" w:sz="8" w:space="0" w:color="000000"/>
            </w:tcBorders>
            <w:tcMar>
              <w:top w:w="100" w:type="dxa"/>
              <w:left w:w="100" w:type="dxa"/>
              <w:bottom w:w="100" w:type="dxa"/>
              <w:right w:w="100" w:type="dxa"/>
            </w:tcMar>
          </w:tcPr>
          <w:p w:rsidR="0053713F" w:rsidRPr="00E159EF" w:rsidRDefault="0053713F" w:rsidP="0011070B">
            <w:pPr>
              <w:pStyle w:val="Normal1"/>
              <w:spacing w:line="240" w:lineRule="auto"/>
              <w:rPr>
                <w:rFonts w:ascii="Times New Roman" w:hAnsi="Times New Roman" w:cs="Times New Roman"/>
                <w:i/>
                <w:color w:val="auto"/>
              </w:rPr>
            </w:pPr>
            <w:r>
              <w:rPr>
                <w:rFonts w:ascii="Times New Roman" w:hAnsi="Times New Roman" w:cs="Times New Roman"/>
                <w:i/>
                <w:color w:val="auto"/>
              </w:rPr>
              <w:t>*Member of the 2013 Task Group</w:t>
            </w:r>
            <w:r w:rsidR="00191A95">
              <w:rPr>
                <w:rFonts w:ascii="Times New Roman" w:hAnsi="Times New Roman" w:cs="Times New Roman"/>
                <w:i/>
                <w:color w:val="auto"/>
              </w:rPr>
              <w:br/>
            </w:r>
            <w:proofErr w:type="spellStart"/>
            <w:r>
              <w:rPr>
                <w:rFonts w:ascii="Times New Roman" w:hAnsi="Times New Roman" w:cs="Times New Roman"/>
                <w:i/>
                <w:color w:val="auto"/>
                <w:vertAlign w:val="superscript"/>
              </w:rPr>
              <w:t>o</w:t>
            </w:r>
            <w:r>
              <w:rPr>
                <w:rFonts w:ascii="Times New Roman" w:hAnsi="Times New Roman" w:cs="Times New Roman"/>
                <w:i/>
                <w:color w:val="auto"/>
              </w:rPr>
              <w:t>Member</w:t>
            </w:r>
            <w:proofErr w:type="spellEnd"/>
            <w:r>
              <w:rPr>
                <w:rFonts w:ascii="Times New Roman" w:hAnsi="Times New Roman" w:cs="Times New Roman"/>
                <w:i/>
                <w:color w:val="auto"/>
              </w:rPr>
              <w:t xml:space="preserve"> of the 2014 Task Group</w:t>
            </w:r>
          </w:p>
        </w:tc>
      </w:tr>
    </w:tbl>
    <w:p w:rsidR="009D76BC" w:rsidRPr="00E159EF" w:rsidRDefault="00BA152E" w:rsidP="00BA152E">
      <w:pPr>
        <w:pStyle w:val="Heading2"/>
        <w:spacing w:before="360" w:after="80"/>
        <w:contextualSpacing w:val="0"/>
        <w:rPr>
          <w:rFonts w:ascii="Times New Roman" w:hAnsi="Times New Roman" w:cs="Times New Roman"/>
          <w:color w:val="auto"/>
        </w:rPr>
      </w:pPr>
      <w:bookmarkStart w:id="11" w:name="h.rhgctpuayr3g" w:colFirst="0" w:colLast="0"/>
      <w:bookmarkEnd w:id="11"/>
      <w:r>
        <w:rPr>
          <w:rFonts w:ascii="Times New Roman" w:hAnsi="Times New Roman" w:cs="Times New Roman"/>
          <w:color w:val="auto"/>
        </w:rPr>
        <w:lastRenderedPageBreak/>
        <w:t xml:space="preserve">Appendix </w:t>
      </w:r>
      <w:r w:rsidR="00BF195A">
        <w:rPr>
          <w:rFonts w:ascii="Times New Roman" w:hAnsi="Times New Roman" w:cs="Times New Roman"/>
          <w:color w:val="auto"/>
        </w:rPr>
        <w:t>C</w:t>
      </w:r>
      <w:r>
        <w:rPr>
          <w:rFonts w:ascii="Times New Roman" w:hAnsi="Times New Roman" w:cs="Times New Roman"/>
          <w:color w:val="auto"/>
        </w:rPr>
        <w:t xml:space="preserve">: </w:t>
      </w:r>
      <w:r w:rsidR="009D76BC" w:rsidRPr="00E159EF">
        <w:rPr>
          <w:rFonts w:ascii="Times New Roman" w:hAnsi="Times New Roman" w:cs="Times New Roman"/>
          <w:color w:val="auto"/>
        </w:rPr>
        <w:t>Prioritization of renewable energy sources used to achieve NZE</w:t>
      </w:r>
    </w:p>
    <w:p w:rsidR="009D76BC" w:rsidRPr="00E159EF" w:rsidRDefault="009D76BC" w:rsidP="009D76BC">
      <w:pPr>
        <w:pStyle w:val="Normal1"/>
        <w:spacing w:after="200"/>
        <w:rPr>
          <w:rFonts w:ascii="Times New Roman" w:hAnsi="Times New Roman" w:cs="Times New Roman"/>
          <w:color w:val="auto"/>
        </w:rPr>
      </w:pPr>
      <w:r w:rsidRPr="00E159EF">
        <w:rPr>
          <w:rFonts w:ascii="Times New Roman" w:hAnsi="Times New Roman" w:cs="Times New Roman"/>
          <w:color w:val="auto"/>
        </w:rPr>
        <w:t xml:space="preserve">The NZE </w:t>
      </w:r>
      <w:r w:rsidR="00F05297">
        <w:rPr>
          <w:rFonts w:ascii="Times New Roman" w:hAnsi="Times New Roman" w:cs="Times New Roman"/>
          <w:color w:val="auto"/>
        </w:rPr>
        <w:t xml:space="preserve">task </w:t>
      </w:r>
      <w:r w:rsidR="009B3751">
        <w:rPr>
          <w:rFonts w:ascii="Times New Roman" w:hAnsi="Times New Roman" w:cs="Times New Roman"/>
          <w:color w:val="auto"/>
        </w:rPr>
        <w:t>group</w:t>
      </w:r>
      <w:r w:rsidRPr="00E159EF">
        <w:rPr>
          <w:rFonts w:ascii="Times New Roman" w:hAnsi="Times New Roman" w:cs="Times New Roman"/>
          <w:color w:val="auto"/>
        </w:rPr>
        <w:t xml:space="preserve"> reviewed various sources of renewable energy and recommended prioritizing renewable energy sources used to achieve NZE as follows: To coordinate with prioritization within</w:t>
      </w:r>
      <w:r w:rsidR="0028796C">
        <w:rPr>
          <w:rFonts w:ascii="Times New Roman" w:hAnsi="Times New Roman" w:cs="Times New Roman"/>
          <w:color w:val="auto"/>
        </w:rPr>
        <w:t xml:space="preserve"> the</w:t>
      </w:r>
      <w:r w:rsidRPr="00E159EF">
        <w:rPr>
          <w:rFonts w:ascii="Times New Roman" w:hAnsi="Times New Roman" w:cs="Times New Roman"/>
          <w:color w:val="auto"/>
        </w:rPr>
        <w:t xml:space="preserve"> December 5, 2013 </w:t>
      </w:r>
      <w:r w:rsidR="0028796C">
        <w:rPr>
          <w:rFonts w:ascii="Times New Roman" w:hAnsi="Times New Roman" w:cs="Times New Roman"/>
          <w:color w:val="auto"/>
        </w:rPr>
        <w:t>P</w:t>
      </w:r>
      <w:r w:rsidR="0028796C" w:rsidRPr="00E159EF">
        <w:rPr>
          <w:rFonts w:ascii="Times New Roman" w:hAnsi="Times New Roman" w:cs="Times New Roman"/>
          <w:color w:val="auto"/>
        </w:rPr>
        <w:t xml:space="preserve">residential </w:t>
      </w:r>
      <w:r w:rsidR="0028796C">
        <w:rPr>
          <w:rFonts w:ascii="Times New Roman" w:hAnsi="Times New Roman" w:cs="Times New Roman"/>
          <w:color w:val="auto"/>
        </w:rPr>
        <w:t>M</w:t>
      </w:r>
      <w:r w:rsidR="0028796C" w:rsidRPr="00E159EF">
        <w:rPr>
          <w:rFonts w:ascii="Times New Roman" w:hAnsi="Times New Roman" w:cs="Times New Roman"/>
          <w:color w:val="auto"/>
        </w:rPr>
        <w:t xml:space="preserve">emo </w:t>
      </w:r>
      <w:r w:rsidR="0028796C">
        <w:rPr>
          <w:rFonts w:ascii="Times New Roman" w:hAnsi="Times New Roman" w:cs="Times New Roman"/>
          <w:color w:val="auto"/>
        </w:rPr>
        <w:t xml:space="preserve">on </w:t>
      </w:r>
      <w:r w:rsidRPr="00E159EF">
        <w:rPr>
          <w:rFonts w:ascii="Times New Roman" w:hAnsi="Times New Roman" w:cs="Times New Roman"/>
          <w:color w:val="auto"/>
        </w:rPr>
        <w:t>Federal Leadership on Energy Management, quoted below:</w:t>
      </w:r>
    </w:p>
    <w:p w:rsidR="009D76BC" w:rsidRPr="00E159EF" w:rsidRDefault="009D76BC" w:rsidP="009D76BC">
      <w:pPr>
        <w:pStyle w:val="Normal1"/>
        <w:spacing w:after="200"/>
        <w:rPr>
          <w:rFonts w:ascii="Times New Roman" w:hAnsi="Times New Roman" w:cs="Times New Roman"/>
        </w:rPr>
      </w:pPr>
      <w:r w:rsidRPr="00E159EF">
        <w:rPr>
          <w:rFonts w:ascii="Times New Roman" w:hAnsi="Times New Roman" w:cs="Times New Roman"/>
        </w:rPr>
        <w:t>(</w:t>
      </w:r>
      <w:proofErr w:type="spellStart"/>
      <w:r w:rsidRPr="00E159EF">
        <w:rPr>
          <w:rFonts w:ascii="Times New Roman" w:hAnsi="Times New Roman" w:cs="Times New Roman"/>
        </w:rPr>
        <w:t>i</w:t>
      </w:r>
      <w:proofErr w:type="spellEnd"/>
      <w:r w:rsidRPr="00E159EF">
        <w:rPr>
          <w:rFonts w:ascii="Times New Roman" w:hAnsi="Times New Roman" w:cs="Times New Roman"/>
        </w:rPr>
        <w:t xml:space="preserve">) </w:t>
      </w:r>
      <w:proofErr w:type="gramStart"/>
      <w:r w:rsidRPr="00E159EF">
        <w:rPr>
          <w:rFonts w:ascii="Times New Roman" w:hAnsi="Times New Roman" w:cs="Times New Roman"/>
        </w:rPr>
        <w:t>installing</w:t>
      </w:r>
      <w:proofErr w:type="gramEnd"/>
      <w:r w:rsidRPr="00E159EF">
        <w:rPr>
          <w:rFonts w:ascii="Times New Roman" w:hAnsi="Times New Roman" w:cs="Times New Roman"/>
        </w:rPr>
        <w:t xml:space="preserve"> agency-funded renewable energy on-site at </w:t>
      </w:r>
      <w:r w:rsidR="005F79D0">
        <w:rPr>
          <w:rFonts w:ascii="Times New Roman" w:hAnsi="Times New Roman" w:cs="Times New Roman"/>
        </w:rPr>
        <w:t>federal</w:t>
      </w:r>
      <w:r w:rsidRPr="00E159EF">
        <w:rPr>
          <w:rFonts w:ascii="Times New Roman" w:hAnsi="Times New Roman" w:cs="Times New Roman"/>
        </w:rPr>
        <w:t xml:space="preserve"> facilities and retain renewable energy certificates; </w:t>
      </w:r>
    </w:p>
    <w:p w:rsidR="009D76BC" w:rsidRPr="00E159EF" w:rsidRDefault="009D76BC" w:rsidP="009D76BC">
      <w:pPr>
        <w:pStyle w:val="Normal1"/>
        <w:spacing w:after="200"/>
        <w:rPr>
          <w:rFonts w:ascii="Times New Roman" w:hAnsi="Times New Roman" w:cs="Times New Roman"/>
        </w:rPr>
      </w:pPr>
      <w:r w:rsidRPr="00E159EF">
        <w:rPr>
          <w:rFonts w:ascii="Times New Roman" w:hAnsi="Times New Roman" w:cs="Times New Roman"/>
        </w:rPr>
        <w:t xml:space="preserve">(ii) </w:t>
      </w:r>
      <w:proofErr w:type="gramStart"/>
      <w:r w:rsidRPr="00E159EF">
        <w:rPr>
          <w:rFonts w:ascii="Times New Roman" w:hAnsi="Times New Roman" w:cs="Times New Roman"/>
        </w:rPr>
        <w:t>contracting</w:t>
      </w:r>
      <w:proofErr w:type="gramEnd"/>
      <w:r w:rsidRPr="00E159EF">
        <w:rPr>
          <w:rFonts w:ascii="Times New Roman" w:hAnsi="Times New Roman" w:cs="Times New Roman"/>
        </w:rPr>
        <w:t xml:space="preserve"> for energy that includes the installation of a renewable energy project on-site at a </w:t>
      </w:r>
      <w:r w:rsidR="005F79D0">
        <w:rPr>
          <w:rFonts w:ascii="Times New Roman" w:hAnsi="Times New Roman" w:cs="Times New Roman"/>
        </w:rPr>
        <w:t>federal</w:t>
      </w:r>
      <w:r w:rsidRPr="00E159EF">
        <w:rPr>
          <w:rFonts w:ascii="Times New Roman" w:hAnsi="Times New Roman" w:cs="Times New Roman"/>
        </w:rPr>
        <w:t xml:space="preserve"> facility or off-site from a </w:t>
      </w:r>
      <w:r w:rsidR="005F79D0">
        <w:rPr>
          <w:rFonts w:ascii="Times New Roman" w:hAnsi="Times New Roman" w:cs="Times New Roman"/>
        </w:rPr>
        <w:t>federal</w:t>
      </w:r>
      <w:r w:rsidRPr="00E159EF">
        <w:rPr>
          <w:rFonts w:ascii="Times New Roman" w:hAnsi="Times New Roman" w:cs="Times New Roman"/>
        </w:rPr>
        <w:t xml:space="preserve"> facility and the retention of renewable energy certificates for the term of the contract; </w:t>
      </w:r>
    </w:p>
    <w:p w:rsidR="009D76BC" w:rsidRPr="00E159EF" w:rsidRDefault="009D76BC" w:rsidP="009D76BC">
      <w:pPr>
        <w:pStyle w:val="Normal1"/>
        <w:spacing w:after="200"/>
        <w:rPr>
          <w:rFonts w:ascii="Times New Roman" w:hAnsi="Times New Roman" w:cs="Times New Roman"/>
        </w:rPr>
      </w:pPr>
      <w:r w:rsidRPr="00E159EF">
        <w:rPr>
          <w:rFonts w:ascii="Times New Roman" w:hAnsi="Times New Roman" w:cs="Times New Roman"/>
        </w:rPr>
        <w:t xml:space="preserve">(iii) </w:t>
      </w:r>
      <w:proofErr w:type="gramStart"/>
      <w:r w:rsidRPr="00E159EF">
        <w:rPr>
          <w:rFonts w:ascii="Times New Roman" w:hAnsi="Times New Roman" w:cs="Times New Roman"/>
        </w:rPr>
        <w:t>purchasing</w:t>
      </w:r>
      <w:proofErr w:type="gramEnd"/>
      <w:r w:rsidRPr="00E159EF">
        <w:rPr>
          <w:rFonts w:ascii="Times New Roman" w:hAnsi="Times New Roman" w:cs="Times New Roman"/>
        </w:rPr>
        <w:t xml:space="preserve"> electricity and corresponding renewable energy certificates; and</w:t>
      </w:r>
    </w:p>
    <w:p w:rsidR="009D76BC" w:rsidRPr="00E159EF" w:rsidRDefault="009D76BC" w:rsidP="009D76BC">
      <w:pPr>
        <w:pStyle w:val="Normal1"/>
        <w:spacing w:after="200"/>
        <w:rPr>
          <w:rFonts w:ascii="Times New Roman" w:hAnsi="Times New Roman" w:cs="Times New Roman"/>
        </w:rPr>
      </w:pPr>
      <w:r w:rsidRPr="00E159EF">
        <w:rPr>
          <w:rFonts w:ascii="Times New Roman" w:hAnsi="Times New Roman" w:cs="Times New Roman"/>
        </w:rPr>
        <w:t xml:space="preserve">(iv) </w:t>
      </w:r>
      <w:proofErr w:type="gramStart"/>
      <w:r w:rsidRPr="00E159EF">
        <w:rPr>
          <w:rFonts w:ascii="Times New Roman" w:hAnsi="Times New Roman" w:cs="Times New Roman"/>
        </w:rPr>
        <w:t>purchasing</w:t>
      </w:r>
      <w:proofErr w:type="gramEnd"/>
      <w:r w:rsidRPr="00E159EF">
        <w:rPr>
          <w:rFonts w:ascii="Times New Roman" w:hAnsi="Times New Roman" w:cs="Times New Roman"/>
        </w:rPr>
        <w:t xml:space="preserve"> renewable energy certificates. </w:t>
      </w:r>
    </w:p>
    <w:p w:rsidR="009D76BC" w:rsidRPr="00BA152E" w:rsidRDefault="00BA152E" w:rsidP="00BA152E">
      <w:pPr>
        <w:pStyle w:val="Heading2"/>
        <w:spacing w:before="360" w:after="80"/>
        <w:contextualSpacing w:val="0"/>
        <w:rPr>
          <w:rFonts w:ascii="Times New Roman" w:eastAsia="Calibri" w:hAnsi="Times New Roman" w:cs="Times New Roman"/>
          <w:color w:val="auto"/>
          <w:sz w:val="24"/>
        </w:rPr>
      </w:pPr>
      <w:r w:rsidRPr="00BA152E">
        <w:rPr>
          <w:rFonts w:ascii="Times New Roman" w:eastAsia="Calibri" w:hAnsi="Times New Roman" w:cs="Times New Roman"/>
          <w:color w:val="auto"/>
          <w:sz w:val="24"/>
        </w:rPr>
        <w:t>App</w:t>
      </w:r>
      <w:r>
        <w:rPr>
          <w:rFonts w:ascii="Times New Roman" w:eastAsia="Calibri" w:hAnsi="Times New Roman" w:cs="Times New Roman"/>
          <w:color w:val="auto"/>
          <w:sz w:val="24"/>
        </w:rPr>
        <w:t xml:space="preserve">endix </w:t>
      </w:r>
      <w:r w:rsidR="00BF195A">
        <w:rPr>
          <w:rFonts w:ascii="Times New Roman" w:eastAsia="Calibri" w:hAnsi="Times New Roman" w:cs="Times New Roman"/>
          <w:color w:val="auto"/>
          <w:sz w:val="24"/>
        </w:rPr>
        <w:t>D</w:t>
      </w:r>
      <w:r w:rsidRPr="00BA152E">
        <w:rPr>
          <w:rFonts w:ascii="Times New Roman" w:eastAsia="Calibri" w:hAnsi="Times New Roman" w:cs="Times New Roman"/>
          <w:color w:val="auto"/>
          <w:sz w:val="24"/>
        </w:rPr>
        <w:t>:</w:t>
      </w:r>
      <w:r>
        <w:rPr>
          <w:rFonts w:ascii="Times New Roman" w:eastAsia="Calibri" w:hAnsi="Times New Roman" w:cs="Times New Roman"/>
          <w:color w:val="auto"/>
          <w:sz w:val="24"/>
        </w:rPr>
        <w:t xml:space="preserve"> </w:t>
      </w:r>
      <w:r w:rsidR="009D76BC" w:rsidRPr="00BA152E">
        <w:rPr>
          <w:rFonts w:ascii="Times New Roman" w:eastAsia="Calibri" w:hAnsi="Times New Roman" w:cs="Times New Roman"/>
          <w:color w:val="auto"/>
          <w:sz w:val="24"/>
        </w:rPr>
        <w:t>Relevant policy and mandates</w:t>
      </w:r>
    </w:p>
    <w:p w:rsidR="009D76BC" w:rsidRDefault="0039396B" w:rsidP="0039396B">
      <w:pPr>
        <w:pStyle w:val="Normal1"/>
        <w:rPr>
          <w:rFonts w:ascii="Times New Roman" w:eastAsia="Calibri" w:hAnsi="Times New Roman" w:cs="Times New Roman"/>
          <w:color w:val="auto"/>
        </w:rPr>
      </w:pPr>
      <w:r w:rsidRPr="00E159EF">
        <w:rPr>
          <w:rFonts w:ascii="Times New Roman" w:hAnsi="Times New Roman" w:cs="Times New Roman"/>
          <w:color w:val="auto"/>
        </w:rPr>
        <w:t>The following mandates and directives require that the federal agencies improve the performance of federal real property assets, including the efficient use of energy and water resources (with specific reduction targets by specific dates), reduction in solid and hazardous waste, increases in the use of renewable energy sources, disposal of underutilized or excess properties, and adaptation of facilities for climate change impacts.</w:t>
      </w:r>
      <w:r w:rsidRPr="00E159EF">
        <w:rPr>
          <w:rFonts w:ascii="Times New Roman" w:eastAsia="Calibri" w:hAnsi="Times New Roman" w:cs="Times New Roman"/>
          <w:color w:val="auto"/>
        </w:rPr>
        <w:t xml:space="preserve"> </w:t>
      </w:r>
      <w:r w:rsidR="009D76BC" w:rsidRPr="00E159EF">
        <w:rPr>
          <w:rFonts w:ascii="Times New Roman" w:eastAsia="Calibri" w:hAnsi="Times New Roman" w:cs="Times New Roman"/>
          <w:color w:val="auto"/>
        </w:rPr>
        <w:t xml:space="preserve">The related </w:t>
      </w:r>
      <w:r w:rsidR="005F79D0">
        <w:rPr>
          <w:rFonts w:ascii="Times New Roman" w:eastAsia="Calibri" w:hAnsi="Times New Roman" w:cs="Times New Roman"/>
          <w:color w:val="auto"/>
        </w:rPr>
        <w:t>federal</w:t>
      </w:r>
      <w:r w:rsidR="009D76BC" w:rsidRPr="00E159EF">
        <w:rPr>
          <w:rFonts w:ascii="Times New Roman" w:eastAsia="Calibri" w:hAnsi="Times New Roman" w:cs="Times New Roman"/>
          <w:color w:val="auto"/>
        </w:rPr>
        <w:t xml:space="preserve"> mandates include: </w:t>
      </w:r>
    </w:p>
    <w:p w:rsidR="00982E22" w:rsidRPr="00E159EF" w:rsidRDefault="00982E22" w:rsidP="0039396B">
      <w:pPr>
        <w:pStyle w:val="Normal1"/>
        <w:rPr>
          <w:rFonts w:ascii="Times New Roman" w:eastAsia="Calibri" w:hAnsi="Times New Roman" w:cs="Times New Roman"/>
          <w:color w:val="auto"/>
        </w:rPr>
      </w:pPr>
    </w:p>
    <w:p w:rsidR="009D76BC" w:rsidRPr="00E159EF" w:rsidRDefault="009D76BC" w:rsidP="009D76BC">
      <w:pPr>
        <w:pStyle w:val="Normal1"/>
        <w:numPr>
          <w:ilvl w:val="0"/>
          <w:numId w:val="5"/>
        </w:numPr>
        <w:spacing w:after="200"/>
        <w:rPr>
          <w:rFonts w:ascii="Times New Roman" w:eastAsia="Calibri" w:hAnsi="Times New Roman" w:cs="Times New Roman"/>
          <w:color w:val="auto"/>
        </w:rPr>
      </w:pPr>
      <w:r w:rsidRPr="00E159EF">
        <w:rPr>
          <w:rFonts w:ascii="Times New Roman" w:eastAsia="Calibri" w:hAnsi="Times New Roman" w:cs="Times New Roman"/>
          <w:color w:val="auto"/>
        </w:rPr>
        <w:t>Energy Policy Act of 2005 (</w:t>
      </w:r>
      <w:proofErr w:type="spellStart"/>
      <w:r w:rsidRPr="00E159EF">
        <w:rPr>
          <w:rFonts w:ascii="Times New Roman" w:eastAsia="Calibri" w:hAnsi="Times New Roman" w:cs="Times New Roman"/>
          <w:color w:val="auto"/>
        </w:rPr>
        <w:t>EPAct</w:t>
      </w:r>
      <w:proofErr w:type="spellEnd"/>
      <w:r w:rsidRPr="00E159EF">
        <w:rPr>
          <w:rFonts w:ascii="Times New Roman" w:eastAsia="Calibri" w:hAnsi="Times New Roman" w:cs="Times New Roman"/>
          <w:color w:val="auto"/>
        </w:rPr>
        <w:t xml:space="preserve"> 2005)</w:t>
      </w:r>
    </w:p>
    <w:p w:rsidR="009D76BC" w:rsidRPr="00E159EF" w:rsidRDefault="009D76BC" w:rsidP="009D76BC">
      <w:pPr>
        <w:pStyle w:val="Normal1"/>
        <w:numPr>
          <w:ilvl w:val="0"/>
          <w:numId w:val="5"/>
        </w:numPr>
        <w:spacing w:after="200"/>
        <w:rPr>
          <w:rFonts w:ascii="Times New Roman" w:eastAsia="Calibri" w:hAnsi="Times New Roman" w:cs="Times New Roman"/>
          <w:color w:val="auto"/>
        </w:rPr>
      </w:pPr>
      <w:r w:rsidRPr="00E159EF">
        <w:rPr>
          <w:rFonts w:ascii="Times New Roman" w:eastAsia="Calibri" w:hAnsi="Times New Roman" w:cs="Times New Roman"/>
          <w:color w:val="auto"/>
        </w:rPr>
        <w:t>Energy Independence and Security Act of 2007 (EISA 2007)</w:t>
      </w:r>
    </w:p>
    <w:p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eastAsia="Calibri" w:hAnsi="Times New Roman" w:cs="Times New Roman"/>
          <w:color w:val="auto"/>
        </w:rPr>
        <w:t>Executive Order “</w:t>
      </w:r>
      <w:r w:rsidRPr="00E159EF">
        <w:rPr>
          <w:rFonts w:ascii="Times New Roman" w:hAnsi="Times New Roman" w:cs="Times New Roman"/>
          <w:color w:val="auto"/>
        </w:rPr>
        <w:t>Strengthening Federal Environmental, Energy, and Transportation Management” (EO 13423)</w:t>
      </w:r>
    </w:p>
    <w:p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Executive Order “Federal Leadership in Environmental, Energy, and Economic Performance” (EO 13514)</w:t>
      </w:r>
    </w:p>
    <w:p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 xml:space="preserve">Presidential Memo “Disposing of Federal Unneeded Real Estate 2010” </w:t>
      </w:r>
      <w:r w:rsidR="00612075">
        <w:rPr>
          <w:rFonts w:ascii="Times New Roman" w:hAnsi="Times New Roman" w:cs="Times New Roman"/>
          <w:color w:val="auto"/>
        </w:rPr>
        <w:t>(June 10, 2010)</w:t>
      </w:r>
    </w:p>
    <w:p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Executive Order “Promoting Efficient Spending” (EO 13589)</w:t>
      </w:r>
    </w:p>
    <w:p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Executive Order “</w:t>
      </w:r>
      <w:r w:rsidRPr="00E159EF">
        <w:rPr>
          <w:rFonts w:ascii="Times New Roman" w:hAnsi="Times New Roman" w:cs="Times New Roman"/>
          <w:bCs/>
          <w:color w:val="auto"/>
        </w:rPr>
        <w:t>Preparing the United States for the Impacts of Climate Change” (EO 13653)</w:t>
      </w:r>
    </w:p>
    <w:p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 xml:space="preserve">Presidential Memo “Federal Leadership on Energy Management” </w:t>
      </w:r>
      <w:r w:rsidR="00612075">
        <w:rPr>
          <w:rFonts w:ascii="Times New Roman" w:hAnsi="Times New Roman" w:cs="Times New Roman"/>
          <w:color w:val="auto"/>
        </w:rPr>
        <w:t>(December 5, 2014)</w:t>
      </w:r>
    </w:p>
    <w:p w:rsidR="009D76BC" w:rsidRPr="00E159EF" w:rsidRDefault="009D76BC" w:rsidP="009D76BC">
      <w:pPr>
        <w:pStyle w:val="Normal1"/>
        <w:numPr>
          <w:ilvl w:val="0"/>
          <w:numId w:val="5"/>
        </w:numPr>
        <w:spacing w:after="200"/>
        <w:rPr>
          <w:rFonts w:ascii="Times New Roman" w:hAnsi="Times New Roman" w:cs="Times New Roman"/>
        </w:rPr>
      </w:pPr>
      <w:r w:rsidRPr="00E159EF">
        <w:rPr>
          <w:rFonts w:ascii="Times New Roman" w:hAnsi="Times New Roman" w:cs="Times New Roman"/>
          <w:color w:val="auto"/>
        </w:rPr>
        <w:t xml:space="preserve">Presidential Policy Directive “National Preparedness” (PPD-8)  </w:t>
      </w:r>
    </w:p>
    <w:p w:rsidR="000E050E" w:rsidRPr="00BA152E" w:rsidRDefault="00BA152E" w:rsidP="00BA152E">
      <w:pPr>
        <w:pStyle w:val="Heading2"/>
        <w:spacing w:before="360" w:after="80"/>
        <w:contextualSpacing w:val="0"/>
        <w:rPr>
          <w:rFonts w:ascii="Times New Roman" w:eastAsia="Calibri" w:hAnsi="Times New Roman" w:cs="Times New Roman"/>
          <w:color w:val="auto"/>
          <w:sz w:val="24"/>
        </w:rPr>
      </w:pPr>
      <w:r w:rsidRPr="00BA152E">
        <w:rPr>
          <w:rFonts w:ascii="Times New Roman" w:eastAsia="Calibri" w:hAnsi="Times New Roman" w:cs="Times New Roman"/>
          <w:color w:val="auto"/>
          <w:sz w:val="24"/>
        </w:rPr>
        <w:lastRenderedPageBreak/>
        <w:t>App</w:t>
      </w:r>
      <w:r>
        <w:rPr>
          <w:rFonts w:ascii="Times New Roman" w:eastAsia="Calibri" w:hAnsi="Times New Roman" w:cs="Times New Roman"/>
          <w:color w:val="auto"/>
          <w:sz w:val="24"/>
        </w:rPr>
        <w:t xml:space="preserve">endix </w:t>
      </w:r>
      <w:r w:rsidR="00BF195A">
        <w:rPr>
          <w:rFonts w:ascii="Times New Roman" w:eastAsia="Calibri" w:hAnsi="Times New Roman" w:cs="Times New Roman"/>
          <w:color w:val="auto"/>
          <w:sz w:val="24"/>
        </w:rPr>
        <w:t>E</w:t>
      </w:r>
      <w:r w:rsidRPr="00BA152E">
        <w:rPr>
          <w:rFonts w:ascii="Times New Roman" w:eastAsia="Calibri" w:hAnsi="Times New Roman" w:cs="Times New Roman"/>
          <w:color w:val="auto"/>
          <w:sz w:val="24"/>
        </w:rPr>
        <w:t>:</w:t>
      </w:r>
      <w:r>
        <w:rPr>
          <w:rFonts w:ascii="Times New Roman" w:eastAsia="Calibri" w:hAnsi="Times New Roman" w:cs="Times New Roman"/>
          <w:color w:val="auto"/>
          <w:sz w:val="24"/>
        </w:rPr>
        <w:t xml:space="preserve"> </w:t>
      </w:r>
      <w:r w:rsidR="000E050E" w:rsidRPr="00BA152E">
        <w:rPr>
          <w:rFonts w:ascii="Times New Roman" w:eastAsia="Calibri" w:hAnsi="Times New Roman" w:cs="Times New Roman"/>
          <w:color w:val="auto"/>
          <w:sz w:val="24"/>
        </w:rPr>
        <w:t>Other reference documents</w:t>
      </w:r>
    </w:p>
    <w:p w:rsidR="00182380" w:rsidRPr="00E159EF" w:rsidRDefault="00182380" w:rsidP="001F688F">
      <w:pPr>
        <w:pStyle w:val="Normal10"/>
        <w:ind w:left="360"/>
        <w:rPr>
          <w:rFonts w:ascii="Times New Roman" w:hAnsi="Times New Roman" w:cs="Times New Roman"/>
          <w:color w:val="auto"/>
        </w:rPr>
      </w:pPr>
      <w:r w:rsidRPr="00E159EF">
        <w:rPr>
          <w:rFonts w:ascii="Times New Roman" w:hAnsi="Times New Roman" w:cs="Times New Roman"/>
          <w:color w:val="auto"/>
        </w:rPr>
        <w:t>2007 California Energy Commission</w:t>
      </w:r>
      <w:r w:rsidR="002A633C">
        <w:rPr>
          <w:rFonts w:ascii="Times New Roman" w:hAnsi="Times New Roman" w:cs="Times New Roman"/>
          <w:color w:val="auto"/>
        </w:rPr>
        <w:t>—</w:t>
      </w:r>
      <w:r w:rsidRPr="00E159EF">
        <w:rPr>
          <w:rFonts w:ascii="Times New Roman" w:hAnsi="Times New Roman" w:cs="Times New Roman"/>
          <w:color w:val="auto"/>
        </w:rPr>
        <w:t>Integrated Energy Policy Report</w:t>
      </w:r>
      <w:r w:rsidR="002A633C">
        <w:rPr>
          <w:rFonts w:ascii="Times New Roman" w:hAnsi="Times New Roman" w:cs="Times New Roman"/>
          <w:color w:val="auto"/>
        </w:rPr>
        <w:t>—</w:t>
      </w:r>
      <w:r w:rsidRPr="00E159EF">
        <w:rPr>
          <w:rFonts w:ascii="Times New Roman" w:hAnsi="Times New Roman" w:cs="Times New Roman"/>
          <w:color w:val="auto"/>
        </w:rPr>
        <w:t>Executive Summary (Building goals: net zero energy for 100% of new homes by 2020, net zero energy for 100% 0f new commercial buildings by 2030, page 27).</w:t>
      </w:r>
    </w:p>
    <w:p w:rsidR="00E90F63" w:rsidRPr="00E159EF" w:rsidRDefault="00182380" w:rsidP="001F688F">
      <w:pPr>
        <w:pStyle w:val="Normal10"/>
        <w:ind w:left="360"/>
        <w:rPr>
          <w:rFonts w:ascii="Times New Roman" w:hAnsi="Times New Roman" w:cs="Times New Roman"/>
          <w:color w:val="auto"/>
        </w:rPr>
      </w:pPr>
      <w:r w:rsidRPr="00E159EF">
        <w:rPr>
          <w:rFonts w:ascii="Times New Roman" w:hAnsi="Times New Roman" w:cs="Times New Roman"/>
          <w:color w:val="auto"/>
        </w:rPr>
        <w:t xml:space="preserve">See: </w:t>
      </w:r>
      <w:hyperlink r:id="rId8" w:history="1">
        <w:r w:rsidR="00E90F63" w:rsidRPr="00E159EF">
          <w:rPr>
            <w:rStyle w:val="Hyperlink"/>
            <w:rFonts w:ascii="Times New Roman" w:hAnsi="Times New Roman" w:cs="Times New Roman"/>
            <w:color w:val="auto"/>
          </w:rPr>
          <w:t>http://www.energy.ca.gov/2007publications/CEC-100-2007-008/CEC-100-2007-008-CMF-ES.PDF</w:t>
        </w:r>
      </w:hyperlink>
    </w:p>
    <w:p w:rsidR="00182380" w:rsidRPr="00E159EF" w:rsidRDefault="00182380" w:rsidP="001F688F">
      <w:pPr>
        <w:pStyle w:val="Normal10"/>
        <w:ind w:left="360"/>
        <w:rPr>
          <w:rFonts w:ascii="Times New Roman" w:hAnsi="Times New Roman" w:cs="Times New Roman"/>
          <w:color w:val="auto"/>
        </w:rPr>
      </w:pPr>
    </w:p>
    <w:p w:rsidR="00182380" w:rsidRPr="00E159EF" w:rsidRDefault="00182380" w:rsidP="001F688F">
      <w:pPr>
        <w:pStyle w:val="Normal10"/>
        <w:ind w:left="360"/>
        <w:rPr>
          <w:rFonts w:ascii="Times New Roman" w:hAnsi="Times New Roman" w:cs="Times New Roman"/>
          <w:color w:val="auto"/>
        </w:rPr>
      </w:pPr>
      <w:proofErr w:type="gramStart"/>
      <w:r w:rsidRPr="00E159EF">
        <w:rPr>
          <w:rFonts w:ascii="Times New Roman" w:hAnsi="Times New Roman" w:cs="Times New Roman"/>
          <w:color w:val="auto"/>
        </w:rPr>
        <w:t>2013 California Energy Commission</w:t>
      </w:r>
      <w:r w:rsidR="002A633C">
        <w:rPr>
          <w:rFonts w:ascii="Times New Roman" w:hAnsi="Times New Roman" w:cs="Times New Roman"/>
          <w:color w:val="auto"/>
        </w:rPr>
        <w:t>—</w:t>
      </w:r>
      <w:r w:rsidRPr="00E159EF">
        <w:rPr>
          <w:rFonts w:ascii="Times New Roman" w:hAnsi="Times New Roman" w:cs="Times New Roman"/>
          <w:color w:val="auto"/>
        </w:rPr>
        <w:t>Integrated Energy Policy Report (state building goals accelerated to 100% of new buildings to be net zero energy by 2025, page 5).</w:t>
      </w:r>
      <w:proofErr w:type="gramEnd"/>
      <w:r w:rsidRPr="00E159EF">
        <w:rPr>
          <w:rFonts w:ascii="Times New Roman" w:hAnsi="Times New Roman" w:cs="Times New Roman"/>
          <w:color w:val="auto"/>
        </w:rPr>
        <w:t xml:space="preserve"> </w:t>
      </w:r>
      <w:hyperlink r:id="rId9" w:history="1">
        <w:r w:rsidRPr="00E159EF">
          <w:rPr>
            <w:rStyle w:val="Hyperlink"/>
            <w:rFonts w:ascii="Times New Roman" w:hAnsi="Times New Roman" w:cs="Times New Roman"/>
            <w:color w:val="auto"/>
          </w:rPr>
          <w:t>http://www.energy.ca.gov/2007publications/CEC-100-2007-008/CEC-100-2007-008-CMF-ES.PDF</w:t>
        </w:r>
      </w:hyperlink>
      <w:r w:rsidRPr="00E159EF">
        <w:rPr>
          <w:rFonts w:ascii="Times New Roman" w:hAnsi="Times New Roman" w:cs="Times New Roman"/>
          <w:color w:val="auto"/>
        </w:rPr>
        <w:t xml:space="preserve"> </w:t>
      </w:r>
    </w:p>
    <w:p w:rsidR="00182380" w:rsidRPr="00E159EF" w:rsidRDefault="00182380" w:rsidP="001F688F">
      <w:pPr>
        <w:pStyle w:val="Normal10"/>
        <w:ind w:left="360"/>
        <w:rPr>
          <w:rFonts w:ascii="Times New Roman" w:hAnsi="Times New Roman" w:cs="Times New Roman"/>
          <w:color w:val="auto"/>
        </w:rPr>
      </w:pPr>
    </w:p>
    <w:p w:rsidR="00182380" w:rsidRPr="00E159EF" w:rsidRDefault="00182380" w:rsidP="001F688F">
      <w:pPr>
        <w:pStyle w:val="Normal10"/>
        <w:ind w:left="360"/>
        <w:rPr>
          <w:rFonts w:ascii="Times New Roman" w:hAnsi="Times New Roman" w:cs="Times New Roman"/>
          <w:color w:val="auto"/>
        </w:rPr>
      </w:pPr>
      <w:r w:rsidRPr="00E159EF">
        <w:rPr>
          <w:rFonts w:ascii="Times New Roman" w:hAnsi="Times New Roman" w:cs="Times New Roman"/>
          <w:color w:val="auto"/>
        </w:rPr>
        <w:t>CA Energy Efficiency Strategic Plan</w:t>
      </w:r>
      <w:r w:rsidR="002A633C">
        <w:rPr>
          <w:rFonts w:ascii="Times New Roman" w:hAnsi="Times New Roman" w:cs="Times New Roman"/>
          <w:color w:val="auto"/>
        </w:rPr>
        <w:t>—</w:t>
      </w:r>
      <w:r w:rsidRPr="00E159EF">
        <w:rPr>
          <w:rFonts w:ascii="Times New Roman" w:hAnsi="Times New Roman" w:cs="Times New Roman"/>
          <w:color w:val="auto"/>
        </w:rPr>
        <w:t xml:space="preserve">January 2011 </w:t>
      </w:r>
      <w:proofErr w:type="gramStart"/>
      <w:r w:rsidRPr="00E159EF">
        <w:rPr>
          <w:rFonts w:ascii="Times New Roman" w:hAnsi="Times New Roman" w:cs="Times New Roman"/>
          <w:color w:val="auto"/>
        </w:rPr>
        <w:t>update</w:t>
      </w:r>
      <w:proofErr w:type="gramEnd"/>
      <w:r w:rsidRPr="00E159EF">
        <w:rPr>
          <w:rFonts w:ascii="Times New Roman" w:hAnsi="Times New Roman" w:cs="Times New Roman"/>
          <w:color w:val="auto"/>
        </w:rPr>
        <w:t xml:space="preserve"> (50% of existing buildings to be zero net energy by 2030, section 3, page 29).</w:t>
      </w:r>
    </w:p>
    <w:p w:rsidR="00182380" w:rsidRPr="00E159EF" w:rsidRDefault="00CC257B" w:rsidP="001F688F">
      <w:pPr>
        <w:pStyle w:val="Normal10"/>
        <w:ind w:left="360"/>
        <w:rPr>
          <w:rFonts w:ascii="Times New Roman" w:hAnsi="Times New Roman" w:cs="Times New Roman"/>
          <w:color w:val="auto"/>
        </w:rPr>
      </w:pPr>
      <w:hyperlink r:id="rId10" w:history="1">
        <w:r w:rsidR="00182380" w:rsidRPr="00E159EF">
          <w:rPr>
            <w:rStyle w:val="Hyperlink"/>
            <w:rFonts w:ascii="Times New Roman" w:hAnsi="Times New Roman" w:cs="Times New Roman"/>
            <w:color w:val="auto"/>
          </w:rPr>
          <w:t>http://www.cpuc.ca.gov/NR/rdonlyres/A54B59C2-D571-440D-9477-3363726F573A/0/CAEnergyEfficiencyStrategicPlan_Jan2011.pdf</w:t>
        </w:r>
      </w:hyperlink>
      <w:r w:rsidR="00182380" w:rsidRPr="00E159EF">
        <w:rPr>
          <w:rFonts w:ascii="Times New Roman" w:hAnsi="Times New Roman" w:cs="Times New Roman"/>
          <w:color w:val="auto"/>
        </w:rPr>
        <w:t xml:space="preserve"> </w:t>
      </w:r>
    </w:p>
    <w:p w:rsidR="00182380" w:rsidRPr="00E159EF" w:rsidRDefault="00182380" w:rsidP="001F688F">
      <w:pPr>
        <w:pStyle w:val="Normal10"/>
        <w:ind w:left="360"/>
        <w:rPr>
          <w:rFonts w:ascii="Times New Roman" w:hAnsi="Times New Roman" w:cs="Times New Roman"/>
          <w:color w:val="auto"/>
        </w:rPr>
      </w:pPr>
    </w:p>
    <w:p w:rsidR="00182380" w:rsidRPr="00E159EF" w:rsidRDefault="00182380" w:rsidP="001F688F">
      <w:pPr>
        <w:pStyle w:val="Normal10"/>
        <w:ind w:left="360"/>
        <w:rPr>
          <w:rFonts w:ascii="Times New Roman" w:hAnsi="Times New Roman" w:cs="Times New Roman"/>
          <w:color w:val="auto"/>
        </w:rPr>
      </w:pPr>
      <w:r w:rsidRPr="00E159EF">
        <w:rPr>
          <w:rFonts w:ascii="Times New Roman" w:hAnsi="Times New Roman" w:cs="Times New Roman"/>
          <w:color w:val="auto"/>
        </w:rPr>
        <w:t>CA Governor Brown’s Executive Order B-18-12 (50% of existing state buildings to be zero net energy by 2025).</w:t>
      </w:r>
    </w:p>
    <w:p w:rsidR="00182380" w:rsidRPr="00E159EF" w:rsidRDefault="00CC257B" w:rsidP="001F688F">
      <w:pPr>
        <w:pStyle w:val="Normal10"/>
        <w:ind w:left="360"/>
        <w:rPr>
          <w:rFonts w:ascii="Times New Roman" w:hAnsi="Times New Roman" w:cs="Times New Roman"/>
          <w:color w:val="auto"/>
        </w:rPr>
      </w:pPr>
      <w:hyperlink r:id="rId11" w:history="1">
        <w:r w:rsidR="00182380" w:rsidRPr="00E159EF">
          <w:rPr>
            <w:rStyle w:val="Hyperlink"/>
            <w:rFonts w:ascii="Times New Roman" w:hAnsi="Times New Roman" w:cs="Times New Roman"/>
            <w:color w:val="auto"/>
          </w:rPr>
          <w:t>http://gov.ca.gov/news.php?id=17506</w:t>
        </w:r>
      </w:hyperlink>
      <w:r w:rsidR="00182380" w:rsidRPr="00E159EF">
        <w:rPr>
          <w:rFonts w:ascii="Times New Roman" w:hAnsi="Times New Roman" w:cs="Times New Roman"/>
          <w:color w:val="auto"/>
        </w:rPr>
        <w:t xml:space="preserve"> </w:t>
      </w:r>
    </w:p>
    <w:p w:rsidR="000E050E" w:rsidRPr="00E159EF" w:rsidRDefault="000E050E">
      <w:pPr>
        <w:pStyle w:val="Normal1"/>
        <w:rPr>
          <w:rFonts w:ascii="Times New Roman" w:hAnsi="Times New Roman" w:cs="Times New Roman"/>
          <w:color w:val="auto"/>
        </w:rPr>
      </w:pPr>
    </w:p>
    <w:sectPr w:rsidR="000E050E" w:rsidRPr="00E159EF" w:rsidSect="001922F5">
      <w:footerReference w:type="default" r:id="rId12"/>
      <w:headerReference w:type="first" r:id="rId13"/>
      <w:pgSz w:w="12240" w:h="15840"/>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13F" w:rsidRDefault="0053713F" w:rsidP="003C7BD2">
      <w:pPr>
        <w:spacing w:line="240" w:lineRule="auto"/>
      </w:pPr>
      <w:r>
        <w:separator/>
      </w:r>
    </w:p>
  </w:endnote>
  <w:endnote w:type="continuationSeparator" w:id="0">
    <w:p w:rsidR="0053713F" w:rsidRDefault="0053713F" w:rsidP="003C7B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3F" w:rsidRPr="006C7559" w:rsidRDefault="00CC257B" w:rsidP="006C7559">
    <w:pPr>
      <w:pStyle w:val="Footer"/>
      <w:jc w:val="center"/>
      <w:rPr>
        <w:rFonts w:ascii="Times New Roman" w:hAnsi="Times New Roman" w:cs="Times New Roman"/>
      </w:rPr>
    </w:pPr>
    <w:r w:rsidRPr="006C7559">
      <w:rPr>
        <w:rStyle w:val="PageNumber"/>
        <w:rFonts w:ascii="Times New Roman" w:hAnsi="Times New Roman" w:cs="Times New Roman"/>
      </w:rPr>
      <w:fldChar w:fldCharType="begin"/>
    </w:r>
    <w:r w:rsidR="0053713F" w:rsidRPr="006C7559">
      <w:rPr>
        <w:rStyle w:val="PageNumber"/>
        <w:rFonts w:ascii="Times New Roman" w:hAnsi="Times New Roman" w:cs="Times New Roman"/>
      </w:rPr>
      <w:instrText xml:space="preserve"> PAGE </w:instrText>
    </w:r>
    <w:r w:rsidRPr="006C7559">
      <w:rPr>
        <w:rStyle w:val="PageNumber"/>
        <w:rFonts w:ascii="Times New Roman" w:hAnsi="Times New Roman" w:cs="Times New Roman"/>
      </w:rPr>
      <w:fldChar w:fldCharType="separate"/>
    </w:r>
    <w:r w:rsidR="001922F5">
      <w:rPr>
        <w:rStyle w:val="PageNumber"/>
        <w:rFonts w:ascii="Times New Roman" w:hAnsi="Times New Roman" w:cs="Times New Roman"/>
        <w:noProof/>
      </w:rPr>
      <w:t>4</w:t>
    </w:r>
    <w:r w:rsidRPr="006C7559">
      <w:rPr>
        <w:rStyle w:val="PageNumbe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13F" w:rsidRDefault="0053713F" w:rsidP="003C7BD2">
      <w:pPr>
        <w:spacing w:line="240" w:lineRule="auto"/>
      </w:pPr>
      <w:r>
        <w:separator/>
      </w:r>
    </w:p>
  </w:footnote>
  <w:footnote w:type="continuationSeparator" w:id="0">
    <w:p w:rsidR="0053713F" w:rsidRDefault="0053713F" w:rsidP="003C7BD2">
      <w:pPr>
        <w:spacing w:line="240" w:lineRule="auto"/>
      </w:pPr>
      <w:r>
        <w:continuationSeparator/>
      </w:r>
    </w:p>
  </w:footnote>
  <w:footnote w:id="1">
    <w:p w:rsidR="0053713F" w:rsidRPr="00EC635A" w:rsidRDefault="0053713F">
      <w:pPr>
        <w:pStyle w:val="FootnoteText"/>
        <w:rPr>
          <w:rFonts w:ascii="Times New Roman" w:hAnsi="Times New Roman" w:cs="Times New Roman"/>
          <w:sz w:val="22"/>
          <w:szCs w:val="22"/>
        </w:rPr>
      </w:pPr>
      <w:r w:rsidRPr="00EC635A">
        <w:rPr>
          <w:rStyle w:val="FootnoteReference"/>
          <w:rFonts w:ascii="Times New Roman" w:hAnsi="Times New Roman" w:cs="Times New Roman"/>
          <w:sz w:val="22"/>
          <w:szCs w:val="22"/>
        </w:rPr>
        <w:footnoteRef/>
      </w:r>
      <w:r w:rsidRPr="00EC635A">
        <w:rPr>
          <w:rFonts w:ascii="Times New Roman" w:hAnsi="Times New Roman" w:cs="Times New Roman"/>
          <w:sz w:val="22"/>
          <w:szCs w:val="22"/>
        </w:rPr>
        <w:t xml:space="preserve"> Definition from http://energy.gov/eere/femp/energy-savings-performance-contracts</w:t>
      </w:r>
    </w:p>
  </w:footnote>
  <w:footnote w:id="2">
    <w:p w:rsidR="0053713F" w:rsidRPr="00612075" w:rsidRDefault="0053713F">
      <w:pPr>
        <w:pStyle w:val="FootnoteText"/>
        <w:rPr>
          <w:rFonts w:ascii="Times New Roman" w:hAnsi="Times New Roman" w:cs="Times New Roman"/>
          <w:sz w:val="22"/>
          <w:szCs w:val="22"/>
        </w:rPr>
      </w:pPr>
      <w:r w:rsidRPr="00612075">
        <w:rPr>
          <w:rStyle w:val="FootnoteReference"/>
          <w:rFonts w:ascii="Times New Roman" w:hAnsi="Times New Roman" w:cs="Times New Roman"/>
          <w:sz w:val="22"/>
          <w:szCs w:val="22"/>
        </w:rPr>
        <w:footnoteRef/>
      </w:r>
      <w:r w:rsidRPr="00612075">
        <w:rPr>
          <w:rFonts w:ascii="Times New Roman" w:hAnsi="Times New Roman" w:cs="Times New Roman"/>
          <w:sz w:val="22"/>
          <w:szCs w:val="22"/>
        </w:rPr>
        <w:t xml:space="preserve"> </w:t>
      </w:r>
      <w:r w:rsidRPr="00612075">
        <w:rPr>
          <w:rFonts w:ascii="Times New Roman" w:hAnsi="Times New Roman" w:cs="Times New Roman"/>
          <w:color w:val="auto"/>
          <w:sz w:val="22"/>
          <w:szCs w:val="22"/>
        </w:rPr>
        <w:t>Presidential Memo “Federal Leadership on Energy Management” (December 5, 2014)</w:t>
      </w:r>
    </w:p>
  </w:footnote>
  <w:footnote w:id="3">
    <w:p w:rsidR="0053713F" w:rsidRPr="00612075" w:rsidRDefault="0053713F" w:rsidP="00612075">
      <w:pPr>
        <w:pStyle w:val="FootnoteText"/>
        <w:tabs>
          <w:tab w:val="left" w:pos="90"/>
        </w:tabs>
        <w:ind w:left="90" w:hanging="90"/>
        <w:rPr>
          <w:rFonts w:ascii="Times New Roman" w:hAnsi="Times New Roman" w:cs="Times New Roman"/>
          <w:sz w:val="22"/>
          <w:szCs w:val="22"/>
        </w:rPr>
      </w:pPr>
      <w:r w:rsidRPr="00612075">
        <w:rPr>
          <w:rStyle w:val="FootnoteReference"/>
          <w:rFonts w:ascii="Times New Roman" w:hAnsi="Times New Roman" w:cs="Times New Roman"/>
          <w:sz w:val="22"/>
          <w:szCs w:val="22"/>
        </w:rPr>
        <w:footnoteRef/>
      </w:r>
      <w:r w:rsidRPr="00612075">
        <w:rPr>
          <w:rFonts w:ascii="Times New Roman" w:hAnsi="Times New Roman" w:cs="Times New Roman"/>
          <w:sz w:val="22"/>
          <w:szCs w:val="22"/>
        </w:rPr>
        <w:t xml:space="preserve"> </w:t>
      </w:r>
      <w:r>
        <w:rPr>
          <w:rFonts w:ascii="Times New Roman" w:hAnsi="Times New Roman" w:cs="Times New Roman"/>
          <w:sz w:val="22"/>
          <w:szCs w:val="22"/>
        </w:rPr>
        <w:t xml:space="preserve">National Research Council, </w:t>
      </w:r>
      <w:r w:rsidRPr="00612075">
        <w:rPr>
          <w:rFonts w:ascii="Times New Roman" w:hAnsi="Times New Roman" w:cs="Times New Roman"/>
          <w:sz w:val="22"/>
          <w:szCs w:val="22"/>
        </w:rPr>
        <w:t>Energy-Efficiency Standards and Green Building Certification Systems Used by the Department of Defense for Military Construction and Major Renovations, 2013</w:t>
      </w:r>
    </w:p>
  </w:footnote>
  <w:footnote w:id="4">
    <w:p w:rsidR="0053713F" w:rsidRPr="00A1286C" w:rsidRDefault="0053713F">
      <w:pPr>
        <w:pStyle w:val="FootnoteText"/>
        <w:rPr>
          <w:rFonts w:ascii="Times New Roman" w:hAnsi="Times New Roman" w:cs="Times New Roman"/>
          <w:sz w:val="22"/>
          <w:szCs w:val="22"/>
        </w:rPr>
      </w:pPr>
      <w:r w:rsidRPr="00A1286C">
        <w:rPr>
          <w:rStyle w:val="FootnoteReference"/>
          <w:rFonts w:ascii="Times New Roman" w:hAnsi="Times New Roman" w:cs="Times New Roman"/>
          <w:sz w:val="22"/>
          <w:szCs w:val="22"/>
        </w:rPr>
        <w:footnoteRef/>
      </w:r>
      <w:r w:rsidRPr="00A1286C">
        <w:rPr>
          <w:rFonts w:ascii="Times New Roman" w:hAnsi="Times New Roman" w:cs="Times New Roman"/>
          <w:sz w:val="22"/>
          <w:szCs w:val="22"/>
        </w:rPr>
        <w:t xml:space="preserve"> National Research Council, Stewardship of Federal Facilities, 1998</w:t>
      </w:r>
    </w:p>
  </w:footnote>
  <w:footnote w:id="5">
    <w:p w:rsidR="0053713F" w:rsidRPr="00EC635A" w:rsidRDefault="0053713F">
      <w:pPr>
        <w:pStyle w:val="FootnoteText"/>
        <w:rPr>
          <w:rFonts w:ascii="Times New Roman" w:hAnsi="Times New Roman" w:cs="Times New Roman"/>
          <w:sz w:val="22"/>
          <w:szCs w:val="22"/>
        </w:rPr>
      </w:pPr>
      <w:r w:rsidRPr="00EC635A">
        <w:rPr>
          <w:rStyle w:val="FootnoteReference"/>
          <w:rFonts w:ascii="Times New Roman" w:hAnsi="Times New Roman" w:cs="Times New Roman"/>
          <w:sz w:val="22"/>
          <w:szCs w:val="22"/>
        </w:rPr>
        <w:footnoteRef/>
      </w:r>
      <w:r w:rsidRPr="00EC635A">
        <w:rPr>
          <w:rFonts w:ascii="Times New Roman" w:hAnsi="Times New Roman" w:cs="Times New Roman"/>
          <w:sz w:val="22"/>
          <w:szCs w:val="22"/>
        </w:rPr>
        <w:t xml:space="preserve"> Definition from http://www.epa.gov/greenpower/gpmarket/rec.htm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F5" w:rsidRDefault="001922F5">
    <w:pPr>
      <w:pStyle w:val="Header"/>
    </w:pPr>
    <w:r w:rsidRPr="001922F5">
      <w:t>Note: This proposal is the product of an independent advisory committee to GSA, and as such, may or may not be consistent with current GSA policy.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684"/>
    <w:multiLevelType w:val="hybridMultilevel"/>
    <w:tmpl w:val="CC205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F45E4"/>
    <w:multiLevelType w:val="hybridMultilevel"/>
    <w:tmpl w:val="32D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B6681"/>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21451E74"/>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BE7445C"/>
    <w:multiLevelType w:val="hybridMultilevel"/>
    <w:tmpl w:val="A12A3C12"/>
    <w:lvl w:ilvl="0" w:tplc="45869946">
      <w:start w:val="2"/>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52D50375"/>
    <w:multiLevelType w:val="hybridMultilevel"/>
    <w:tmpl w:val="C0DA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244362"/>
    <w:multiLevelType w:val="hybridMultilevel"/>
    <w:tmpl w:val="7C263FC6"/>
    <w:lvl w:ilvl="0" w:tplc="1DAE1D54">
      <w:start w:val="4"/>
      <w:numFmt w:val="bullet"/>
      <w:lvlText w:val="–"/>
      <w:lvlJc w:val="left"/>
      <w:pPr>
        <w:ind w:left="2340" w:hanging="900"/>
      </w:pPr>
      <w:rPr>
        <w:rFonts w:ascii="Arial" w:eastAsia="Calibri" w:hAnsi="Arial" w:cs="Arial" w:hint="default"/>
        <w:b w:val="0"/>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3467E09"/>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61391E43"/>
    <w:multiLevelType w:val="hybridMultilevel"/>
    <w:tmpl w:val="74BA6C84"/>
    <w:lvl w:ilvl="0" w:tplc="D4BE2C9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163EA8"/>
    <w:multiLevelType w:val="hybridMultilevel"/>
    <w:tmpl w:val="0C6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703413"/>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75550CEB"/>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78064AAB"/>
    <w:multiLevelType w:val="hybridMultilevel"/>
    <w:tmpl w:val="7CB6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2"/>
  </w:num>
  <w:num w:numId="5">
    <w:abstractNumId w:val="1"/>
  </w:num>
  <w:num w:numId="6">
    <w:abstractNumId w:val="9"/>
  </w:num>
  <w:num w:numId="7">
    <w:abstractNumId w:val="5"/>
  </w:num>
  <w:num w:numId="8">
    <w:abstractNumId w:val="6"/>
  </w:num>
  <w:num w:numId="9">
    <w:abstractNumId w:val="10"/>
  </w:num>
  <w:num w:numId="10">
    <w:abstractNumId w:val="0"/>
  </w:num>
  <w:num w:numId="11">
    <w:abstractNumId w:val="7"/>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C7BD2"/>
    <w:rsid w:val="00015B0A"/>
    <w:rsid w:val="00043640"/>
    <w:rsid w:val="00060B8D"/>
    <w:rsid w:val="000671B9"/>
    <w:rsid w:val="00077834"/>
    <w:rsid w:val="000C1F6F"/>
    <w:rsid w:val="000D2F28"/>
    <w:rsid w:val="000D6D89"/>
    <w:rsid w:val="000D7E1E"/>
    <w:rsid w:val="000E050E"/>
    <w:rsid w:val="000F0299"/>
    <w:rsid w:val="0010185F"/>
    <w:rsid w:val="0011070B"/>
    <w:rsid w:val="00114EEB"/>
    <w:rsid w:val="001216BB"/>
    <w:rsid w:val="00132272"/>
    <w:rsid w:val="00151A0D"/>
    <w:rsid w:val="001654FD"/>
    <w:rsid w:val="00173BF9"/>
    <w:rsid w:val="00174B89"/>
    <w:rsid w:val="00176914"/>
    <w:rsid w:val="00182380"/>
    <w:rsid w:val="001837F8"/>
    <w:rsid w:val="00185248"/>
    <w:rsid w:val="00191A95"/>
    <w:rsid w:val="001922F5"/>
    <w:rsid w:val="001A6EAF"/>
    <w:rsid w:val="001F579F"/>
    <w:rsid w:val="001F688F"/>
    <w:rsid w:val="0021288C"/>
    <w:rsid w:val="0022342F"/>
    <w:rsid w:val="0023171F"/>
    <w:rsid w:val="00243BF9"/>
    <w:rsid w:val="00252E4E"/>
    <w:rsid w:val="00254FAE"/>
    <w:rsid w:val="002707B6"/>
    <w:rsid w:val="0028796C"/>
    <w:rsid w:val="002971F8"/>
    <w:rsid w:val="002A633C"/>
    <w:rsid w:val="002B70BA"/>
    <w:rsid w:val="002D5F54"/>
    <w:rsid w:val="002F4157"/>
    <w:rsid w:val="00317B27"/>
    <w:rsid w:val="00324DC0"/>
    <w:rsid w:val="00324DDF"/>
    <w:rsid w:val="00341D8A"/>
    <w:rsid w:val="00354268"/>
    <w:rsid w:val="0035766E"/>
    <w:rsid w:val="003767F0"/>
    <w:rsid w:val="0038471A"/>
    <w:rsid w:val="00392AC4"/>
    <w:rsid w:val="0039396B"/>
    <w:rsid w:val="003A6AB4"/>
    <w:rsid w:val="003C7BD2"/>
    <w:rsid w:val="003D2D64"/>
    <w:rsid w:val="003E4C60"/>
    <w:rsid w:val="00404537"/>
    <w:rsid w:val="004165A4"/>
    <w:rsid w:val="00423AE7"/>
    <w:rsid w:val="004242B8"/>
    <w:rsid w:val="004406CE"/>
    <w:rsid w:val="00444F24"/>
    <w:rsid w:val="00453355"/>
    <w:rsid w:val="0045695C"/>
    <w:rsid w:val="0046402B"/>
    <w:rsid w:val="00472930"/>
    <w:rsid w:val="00477B67"/>
    <w:rsid w:val="004803E6"/>
    <w:rsid w:val="004929FF"/>
    <w:rsid w:val="004C0670"/>
    <w:rsid w:val="004C1631"/>
    <w:rsid w:val="004C1A1B"/>
    <w:rsid w:val="004D415E"/>
    <w:rsid w:val="004D79A5"/>
    <w:rsid w:val="004E1FF5"/>
    <w:rsid w:val="004E75D1"/>
    <w:rsid w:val="004F7DEF"/>
    <w:rsid w:val="0050286B"/>
    <w:rsid w:val="00502FAD"/>
    <w:rsid w:val="00511127"/>
    <w:rsid w:val="005169CC"/>
    <w:rsid w:val="00516A0D"/>
    <w:rsid w:val="00517087"/>
    <w:rsid w:val="00526B79"/>
    <w:rsid w:val="0053713F"/>
    <w:rsid w:val="00556AF5"/>
    <w:rsid w:val="005649AA"/>
    <w:rsid w:val="005737F2"/>
    <w:rsid w:val="005856AB"/>
    <w:rsid w:val="005967D3"/>
    <w:rsid w:val="005A1C25"/>
    <w:rsid w:val="005A669B"/>
    <w:rsid w:val="005C5256"/>
    <w:rsid w:val="005D44D4"/>
    <w:rsid w:val="005E5B8F"/>
    <w:rsid w:val="005F54E5"/>
    <w:rsid w:val="005F79D0"/>
    <w:rsid w:val="00612075"/>
    <w:rsid w:val="00614084"/>
    <w:rsid w:val="006206EA"/>
    <w:rsid w:val="00625CC0"/>
    <w:rsid w:val="00674DA1"/>
    <w:rsid w:val="006836E2"/>
    <w:rsid w:val="006A630A"/>
    <w:rsid w:val="006B7951"/>
    <w:rsid w:val="006C7559"/>
    <w:rsid w:val="006E04E0"/>
    <w:rsid w:val="006E768D"/>
    <w:rsid w:val="006F5BF2"/>
    <w:rsid w:val="00711D62"/>
    <w:rsid w:val="00713B11"/>
    <w:rsid w:val="0072342E"/>
    <w:rsid w:val="007453D7"/>
    <w:rsid w:val="007462C9"/>
    <w:rsid w:val="00763D40"/>
    <w:rsid w:val="00780472"/>
    <w:rsid w:val="00790EA2"/>
    <w:rsid w:val="007A2524"/>
    <w:rsid w:val="007A4E84"/>
    <w:rsid w:val="007A4F4F"/>
    <w:rsid w:val="007A6F5A"/>
    <w:rsid w:val="007B2737"/>
    <w:rsid w:val="007C6E3D"/>
    <w:rsid w:val="007E1368"/>
    <w:rsid w:val="007E3A06"/>
    <w:rsid w:val="007E4352"/>
    <w:rsid w:val="007F31E0"/>
    <w:rsid w:val="008010BC"/>
    <w:rsid w:val="00820143"/>
    <w:rsid w:val="00821C2E"/>
    <w:rsid w:val="00826621"/>
    <w:rsid w:val="008332F4"/>
    <w:rsid w:val="008452FE"/>
    <w:rsid w:val="00853D0A"/>
    <w:rsid w:val="00860FA3"/>
    <w:rsid w:val="008909D8"/>
    <w:rsid w:val="008A2997"/>
    <w:rsid w:val="008A5D41"/>
    <w:rsid w:val="008C26FA"/>
    <w:rsid w:val="008C42E2"/>
    <w:rsid w:val="008C5B2A"/>
    <w:rsid w:val="008E39D8"/>
    <w:rsid w:val="008F33A7"/>
    <w:rsid w:val="00906D88"/>
    <w:rsid w:val="00907394"/>
    <w:rsid w:val="00916C0E"/>
    <w:rsid w:val="00923FBD"/>
    <w:rsid w:val="00933BDB"/>
    <w:rsid w:val="00944929"/>
    <w:rsid w:val="0095138C"/>
    <w:rsid w:val="00952268"/>
    <w:rsid w:val="00957EA7"/>
    <w:rsid w:val="00970D7E"/>
    <w:rsid w:val="009741F0"/>
    <w:rsid w:val="00982E22"/>
    <w:rsid w:val="00984D8F"/>
    <w:rsid w:val="00991170"/>
    <w:rsid w:val="009A0054"/>
    <w:rsid w:val="009A3057"/>
    <w:rsid w:val="009A4B42"/>
    <w:rsid w:val="009B3751"/>
    <w:rsid w:val="009D0B77"/>
    <w:rsid w:val="009D76BC"/>
    <w:rsid w:val="009E43E9"/>
    <w:rsid w:val="009F5DBB"/>
    <w:rsid w:val="009F6B94"/>
    <w:rsid w:val="009F6E04"/>
    <w:rsid w:val="00A02FC7"/>
    <w:rsid w:val="00A1286C"/>
    <w:rsid w:val="00A20B37"/>
    <w:rsid w:val="00A3018A"/>
    <w:rsid w:val="00A32E2A"/>
    <w:rsid w:val="00A44627"/>
    <w:rsid w:val="00A476C8"/>
    <w:rsid w:val="00A57FA0"/>
    <w:rsid w:val="00A60306"/>
    <w:rsid w:val="00A61809"/>
    <w:rsid w:val="00A631CC"/>
    <w:rsid w:val="00A8741E"/>
    <w:rsid w:val="00A9417F"/>
    <w:rsid w:val="00AA69A0"/>
    <w:rsid w:val="00AB10FD"/>
    <w:rsid w:val="00AB507C"/>
    <w:rsid w:val="00AB5AE9"/>
    <w:rsid w:val="00AC4B43"/>
    <w:rsid w:val="00AD1108"/>
    <w:rsid w:val="00AE7014"/>
    <w:rsid w:val="00AF63F4"/>
    <w:rsid w:val="00B55D8C"/>
    <w:rsid w:val="00B57E42"/>
    <w:rsid w:val="00B71204"/>
    <w:rsid w:val="00B74288"/>
    <w:rsid w:val="00B742FA"/>
    <w:rsid w:val="00B74508"/>
    <w:rsid w:val="00B80552"/>
    <w:rsid w:val="00B84982"/>
    <w:rsid w:val="00BA152E"/>
    <w:rsid w:val="00BB0350"/>
    <w:rsid w:val="00BC111D"/>
    <w:rsid w:val="00BD343E"/>
    <w:rsid w:val="00BE00A9"/>
    <w:rsid w:val="00BF195A"/>
    <w:rsid w:val="00BF37A6"/>
    <w:rsid w:val="00BF5B35"/>
    <w:rsid w:val="00C315D5"/>
    <w:rsid w:val="00C45AE0"/>
    <w:rsid w:val="00C47C83"/>
    <w:rsid w:val="00C5147E"/>
    <w:rsid w:val="00C679FB"/>
    <w:rsid w:val="00C919F0"/>
    <w:rsid w:val="00CC172F"/>
    <w:rsid w:val="00CC257B"/>
    <w:rsid w:val="00CC5945"/>
    <w:rsid w:val="00CC5D1D"/>
    <w:rsid w:val="00CC7FEB"/>
    <w:rsid w:val="00CD0FE1"/>
    <w:rsid w:val="00CE1824"/>
    <w:rsid w:val="00D218F3"/>
    <w:rsid w:val="00D3721A"/>
    <w:rsid w:val="00D37A8B"/>
    <w:rsid w:val="00D5064D"/>
    <w:rsid w:val="00D53CBD"/>
    <w:rsid w:val="00D71114"/>
    <w:rsid w:val="00D74087"/>
    <w:rsid w:val="00D856C4"/>
    <w:rsid w:val="00D867C9"/>
    <w:rsid w:val="00D921FA"/>
    <w:rsid w:val="00D93742"/>
    <w:rsid w:val="00DB38C6"/>
    <w:rsid w:val="00DB6400"/>
    <w:rsid w:val="00DC1DC5"/>
    <w:rsid w:val="00DC7694"/>
    <w:rsid w:val="00DD05A8"/>
    <w:rsid w:val="00DF794D"/>
    <w:rsid w:val="00E159EF"/>
    <w:rsid w:val="00E21B06"/>
    <w:rsid w:val="00E416D4"/>
    <w:rsid w:val="00E41D2A"/>
    <w:rsid w:val="00E52B23"/>
    <w:rsid w:val="00E90F63"/>
    <w:rsid w:val="00EA74EF"/>
    <w:rsid w:val="00EB4387"/>
    <w:rsid w:val="00EB63C6"/>
    <w:rsid w:val="00EC3A49"/>
    <w:rsid w:val="00EC635A"/>
    <w:rsid w:val="00EC6633"/>
    <w:rsid w:val="00EE065C"/>
    <w:rsid w:val="00EE3AF8"/>
    <w:rsid w:val="00EF20E2"/>
    <w:rsid w:val="00EF4CE0"/>
    <w:rsid w:val="00F045E0"/>
    <w:rsid w:val="00F05297"/>
    <w:rsid w:val="00F11E8F"/>
    <w:rsid w:val="00F465A4"/>
    <w:rsid w:val="00F600CB"/>
    <w:rsid w:val="00F6316F"/>
    <w:rsid w:val="00F6786D"/>
    <w:rsid w:val="00F9051E"/>
    <w:rsid w:val="00F919F7"/>
    <w:rsid w:val="00FA385B"/>
    <w:rsid w:val="00FA585C"/>
    <w:rsid w:val="00FD226F"/>
    <w:rsid w:val="00FD666A"/>
    <w:rsid w:val="00FD6C4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42"/>
    <w:pPr>
      <w:spacing w:before="120" w:after="120"/>
    </w:pPr>
  </w:style>
  <w:style w:type="paragraph" w:styleId="Heading1">
    <w:name w:val="heading 1"/>
    <w:basedOn w:val="Normal1"/>
    <w:next w:val="Normal1"/>
    <w:rsid w:val="003C7BD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3C7BD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3C7BD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3C7BD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3C7BD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3C7BD2"/>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94492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C7BD2"/>
  </w:style>
  <w:style w:type="paragraph" w:styleId="Title">
    <w:name w:val="Title"/>
    <w:basedOn w:val="Normal1"/>
    <w:next w:val="Normal1"/>
    <w:rsid w:val="003C7BD2"/>
    <w:pPr>
      <w:keepNext/>
      <w:keepLines/>
      <w:contextualSpacing/>
    </w:pPr>
    <w:rPr>
      <w:rFonts w:ascii="Trebuchet MS" w:eastAsia="Trebuchet MS" w:hAnsi="Trebuchet MS" w:cs="Trebuchet MS"/>
      <w:sz w:val="42"/>
    </w:rPr>
  </w:style>
  <w:style w:type="paragraph" w:styleId="Subtitle">
    <w:name w:val="Subtitle"/>
    <w:basedOn w:val="Normal1"/>
    <w:next w:val="Normal1"/>
    <w:rsid w:val="003C7BD2"/>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C7BD2"/>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3C7BD2"/>
    <w:pPr>
      <w:spacing w:line="240" w:lineRule="auto"/>
    </w:pPr>
    <w:rPr>
      <w:sz w:val="20"/>
    </w:rPr>
  </w:style>
  <w:style w:type="character" w:customStyle="1" w:styleId="CommentTextChar">
    <w:name w:val="Comment Text Char"/>
    <w:basedOn w:val="DefaultParagraphFont"/>
    <w:link w:val="CommentText"/>
    <w:uiPriority w:val="99"/>
    <w:semiHidden/>
    <w:rsid w:val="003C7BD2"/>
    <w:rPr>
      <w:sz w:val="20"/>
    </w:rPr>
  </w:style>
  <w:style w:type="character" w:styleId="CommentReference">
    <w:name w:val="annotation reference"/>
    <w:basedOn w:val="DefaultParagraphFont"/>
    <w:uiPriority w:val="99"/>
    <w:semiHidden/>
    <w:unhideWhenUsed/>
    <w:rsid w:val="003C7BD2"/>
    <w:rPr>
      <w:sz w:val="16"/>
      <w:szCs w:val="16"/>
    </w:rPr>
  </w:style>
  <w:style w:type="paragraph" w:styleId="BalloonText">
    <w:name w:val="Balloon Text"/>
    <w:basedOn w:val="Normal"/>
    <w:link w:val="BalloonTextChar"/>
    <w:uiPriority w:val="99"/>
    <w:semiHidden/>
    <w:unhideWhenUsed/>
    <w:rsid w:val="001018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5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3FBD"/>
    <w:rPr>
      <w:b/>
      <w:bCs/>
    </w:rPr>
  </w:style>
  <w:style w:type="character" w:customStyle="1" w:styleId="CommentSubjectChar">
    <w:name w:val="Comment Subject Char"/>
    <w:basedOn w:val="CommentTextChar"/>
    <w:link w:val="CommentSubject"/>
    <w:uiPriority w:val="99"/>
    <w:semiHidden/>
    <w:rsid w:val="00923FBD"/>
    <w:rPr>
      <w:b/>
      <w:bCs/>
      <w:sz w:val="20"/>
    </w:rPr>
  </w:style>
  <w:style w:type="character" w:styleId="Hyperlink">
    <w:name w:val="Hyperlink"/>
    <w:basedOn w:val="DefaultParagraphFont"/>
    <w:uiPriority w:val="99"/>
    <w:unhideWhenUsed/>
    <w:rsid w:val="00A32E2A"/>
    <w:rPr>
      <w:color w:val="0000FF" w:themeColor="hyperlink"/>
      <w:u w:val="single"/>
    </w:rPr>
  </w:style>
  <w:style w:type="paragraph" w:styleId="NormalWeb">
    <w:name w:val="Normal (Web)"/>
    <w:basedOn w:val="Normal"/>
    <w:uiPriority w:val="99"/>
    <w:semiHidden/>
    <w:unhideWhenUsed/>
    <w:rsid w:val="00BC111D"/>
    <w:pPr>
      <w:spacing w:before="100" w:beforeAutospacing="1" w:after="100" w:afterAutospacing="1" w:line="240" w:lineRule="auto"/>
    </w:pPr>
    <w:rPr>
      <w:rFonts w:ascii="Times" w:hAnsi="Times" w:cs="Times New Roman"/>
      <w:color w:val="auto"/>
      <w:sz w:val="20"/>
    </w:rPr>
  </w:style>
  <w:style w:type="paragraph" w:styleId="FootnoteText">
    <w:name w:val="footnote text"/>
    <w:basedOn w:val="Normal"/>
    <w:link w:val="FootnoteTextChar"/>
    <w:uiPriority w:val="99"/>
    <w:unhideWhenUsed/>
    <w:rsid w:val="001216BB"/>
    <w:pPr>
      <w:spacing w:line="240" w:lineRule="auto"/>
    </w:pPr>
    <w:rPr>
      <w:sz w:val="24"/>
    </w:rPr>
  </w:style>
  <w:style w:type="character" w:customStyle="1" w:styleId="FootnoteTextChar">
    <w:name w:val="Footnote Text Char"/>
    <w:basedOn w:val="DefaultParagraphFont"/>
    <w:link w:val="FootnoteText"/>
    <w:uiPriority w:val="99"/>
    <w:rsid w:val="001216BB"/>
    <w:rPr>
      <w:sz w:val="24"/>
      <w:szCs w:val="24"/>
    </w:rPr>
  </w:style>
  <w:style w:type="character" w:styleId="FootnoteReference">
    <w:name w:val="footnote reference"/>
    <w:basedOn w:val="DefaultParagraphFont"/>
    <w:uiPriority w:val="99"/>
    <w:unhideWhenUsed/>
    <w:rsid w:val="001216BB"/>
    <w:rPr>
      <w:vertAlign w:val="superscript"/>
    </w:rPr>
  </w:style>
  <w:style w:type="paragraph" w:styleId="Header">
    <w:name w:val="header"/>
    <w:basedOn w:val="Normal"/>
    <w:link w:val="HeaderChar"/>
    <w:uiPriority w:val="99"/>
    <w:unhideWhenUsed/>
    <w:rsid w:val="00BF37A6"/>
    <w:pPr>
      <w:tabs>
        <w:tab w:val="center" w:pos="4320"/>
        <w:tab w:val="right" w:pos="8640"/>
      </w:tabs>
      <w:spacing w:line="240" w:lineRule="auto"/>
    </w:pPr>
  </w:style>
  <w:style w:type="character" w:customStyle="1" w:styleId="HeaderChar">
    <w:name w:val="Header Char"/>
    <w:basedOn w:val="DefaultParagraphFont"/>
    <w:link w:val="Header"/>
    <w:uiPriority w:val="99"/>
    <w:rsid w:val="00BF37A6"/>
  </w:style>
  <w:style w:type="paragraph" w:styleId="Footer">
    <w:name w:val="footer"/>
    <w:basedOn w:val="Normal"/>
    <w:link w:val="FooterChar"/>
    <w:uiPriority w:val="99"/>
    <w:unhideWhenUsed/>
    <w:rsid w:val="00BF37A6"/>
    <w:pPr>
      <w:tabs>
        <w:tab w:val="center" w:pos="4320"/>
        <w:tab w:val="right" w:pos="8640"/>
      </w:tabs>
      <w:spacing w:line="240" w:lineRule="auto"/>
    </w:pPr>
  </w:style>
  <w:style w:type="character" w:customStyle="1" w:styleId="FooterChar">
    <w:name w:val="Footer Char"/>
    <w:basedOn w:val="DefaultParagraphFont"/>
    <w:link w:val="Footer"/>
    <w:uiPriority w:val="99"/>
    <w:rsid w:val="00BF37A6"/>
  </w:style>
  <w:style w:type="paragraph" w:customStyle="1" w:styleId="Normal10">
    <w:name w:val="Normal1"/>
    <w:rsid w:val="00182380"/>
  </w:style>
  <w:style w:type="character" w:styleId="FollowedHyperlink">
    <w:name w:val="FollowedHyperlink"/>
    <w:basedOn w:val="DefaultParagraphFont"/>
    <w:uiPriority w:val="99"/>
    <w:semiHidden/>
    <w:unhideWhenUsed/>
    <w:rsid w:val="00790EA2"/>
    <w:rPr>
      <w:color w:val="800080" w:themeColor="followedHyperlink"/>
      <w:u w:val="single"/>
    </w:rPr>
  </w:style>
  <w:style w:type="character" w:customStyle="1" w:styleId="Heading7Char">
    <w:name w:val="Heading 7 Char"/>
    <w:basedOn w:val="DefaultParagraphFont"/>
    <w:link w:val="Heading7"/>
    <w:uiPriority w:val="9"/>
    <w:semiHidden/>
    <w:rsid w:val="00944929"/>
    <w:rPr>
      <w:rFonts w:asciiTheme="majorHAnsi" w:eastAsiaTheme="majorEastAsia" w:hAnsiTheme="majorHAnsi" w:cstheme="majorBidi"/>
      <w:i/>
      <w:iCs/>
      <w:color w:val="404040" w:themeColor="text1" w:themeTint="BF"/>
    </w:rPr>
  </w:style>
  <w:style w:type="paragraph" w:customStyle="1" w:styleId="normal0">
    <w:name w:val="normal"/>
    <w:rsid w:val="00D867C9"/>
  </w:style>
  <w:style w:type="character" w:styleId="PageNumber">
    <w:name w:val="page number"/>
    <w:basedOn w:val="DefaultParagraphFont"/>
    <w:uiPriority w:val="99"/>
    <w:semiHidden/>
    <w:unhideWhenUsed/>
    <w:rsid w:val="008A5D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4"/>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42"/>
    <w:pPr>
      <w:spacing w:before="120" w:after="120"/>
    </w:pPr>
  </w:style>
  <w:style w:type="paragraph" w:styleId="Heading1">
    <w:name w:val="heading 1"/>
    <w:basedOn w:val="Normal1"/>
    <w:next w:val="Normal1"/>
    <w:rsid w:val="003C7BD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3C7BD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3C7BD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3C7BD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3C7BD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3C7BD2"/>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94492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C7BD2"/>
  </w:style>
  <w:style w:type="paragraph" w:styleId="Title">
    <w:name w:val="Title"/>
    <w:basedOn w:val="Normal1"/>
    <w:next w:val="Normal1"/>
    <w:rsid w:val="003C7BD2"/>
    <w:pPr>
      <w:keepNext/>
      <w:keepLines/>
      <w:contextualSpacing/>
    </w:pPr>
    <w:rPr>
      <w:rFonts w:ascii="Trebuchet MS" w:eastAsia="Trebuchet MS" w:hAnsi="Trebuchet MS" w:cs="Trebuchet MS"/>
      <w:sz w:val="42"/>
    </w:rPr>
  </w:style>
  <w:style w:type="paragraph" w:styleId="Subtitle">
    <w:name w:val="Subtitle"/>
    <w:basedOn w:val="Normal1"/>
    <w:next w:val="Normal1"/>
    <w:rsid w:val="003C7BD2"/>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C7BD2"/>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3C7BD2"/>
    <w:pPr>
      <w:spacing w:line="240" w:lineRule="auto"/>
    </w:pPr>
    <w:rPr>
      <w:sz w:val="20"/>
    </w:rPr>
  </w:style>
  <w:style w:type="character" w:customStyle="1" w:styleId="CommentTextChar">
    <w:name w:val="Comment Text Char"/>
    <w:basedOn w:val="DefaultParagraphFont"/>
    <w:link w:val="CommentText"/>
    <w:uiPriority w:val="99"/>
    <w:semiHidden/>
    <w:rsid w:val="003C7BD2"/>
    <w:rPr>
      <w:sz w:val="20"/>
    </w:rPr>
  </w:style>
  <w:style w:type="character" w:styleId="CommentReference">
    <w:name w:val="annotation reference"/>
    <w:basedOn w:val="DefaultParagraphFont"/>
    <w:uiPriority w:val="99"/>
    <w:semiHidden/>
    <w:unhideWhenUsed/>
    <w:rsid w:val="003C7BD2"/>
    <w:rPr>
      <w:sz w:val="16"/>
      <w:szCs w:val="16"/>
    </w:rPr>
  </w:style>
  <w:style w:type="paragraph" w:styleId="BalloonText">
    <w:name w:val="Balloon Text"/>
    <w:basedOn w:val="Normal"/>
    <w:link w:val="BalloonTextChar"/>
    <w:uiPriority w:val="99"/>
    <w:semiHidden/>
    <w:unhideWhenUsed/>
    <w:rsid w:val="001018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5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3FBD"/>
    <w:rPr>
      <w:b/>
      <w:bCs/>
    </w:rPr>
  </w:style>
  <w:style w:type="character" w:customStyle="1" w:styleId="CommentSubjectChar">
    <w:name w:val="Comment Subject Char"/>
    <w:basedOn w:val="CommentTextChar"/>
    <w:link w:val="CommentSubject"/>
    <w:uiPriority w:val="99"/>
    <w:semiHidden/>
    <w:rsid w:val="00923FBD"/>
    <w:rPr>
      <w:b/>
      <w:bCs/>
      <w:sz w:val="20"/>
    </w:rPr>
  </w:style>
  <w:style w:type="character" w:styleId="Hyperlink">
    <w:name w:val="Hyperlink"/>
    <w:basedOn w:val="DefaultParagraphFont"/>
    <w:uiPriority w:val="99"/>
    <w:unhideWhenUsed/>
    <w:rsid w:val="00A32E2A"/>
    <w:rPr>
      <w:color w:val="0000FF" w:themeColor="hyperlink"/>
      <w:u w:val="single"/>
    </w:rPr>
  </w:style>
  <w:style w:type="paragraph" w:styleId="NormalWeb">
    <w:name w:val="Normal (Web)"/>
    <w:basedOn w:val="Normal"/>
    <w:uiPriority w:val="99"/>
    <w:semiHidden/>
    <w:unhideWhenUsed/>
    <w:rsid w:val="00BC111D"/>
    <w:pPr>
      <w:spacing w:before="100" w:beforeAutospacing="1" w:after="100" w:afterAutospacing="1" w:line="240" w:lineRule="auto"/>
    </w:pPr>
    <w:rPr>
      <w:rFonts w:ascii="Times" w:hAnsi="Times" w:cs="Times New Roman"/>
      <w:color w:val="auto"/>
      <w:sz w:val="20"/>
    </w:rPr>
  </w:style>
  <w:style w:type="paragraph" w:styleId="FootnoteText">
    <w:name w:val="footnote text"/>
    <w:basedOn w:val="Normal"/>
    <w:link w:val="FootnoteTextChar"/>
    <w:uiPriority w:val="99"/>
    <w:unhideWhenUsed/>
    <w:rsid w:val="001216BB"/>
    <w:pPr>
      <w:spacing w:line="240" w:lineRule="auto"/>
    </w:pPr>
    <w:rPr>
      <w:sz w:val="24"/>
    </w:rPr>
  </w:style>
  <w:style w:type="character" w:customStyle="1" w:styleId="FootnoteTextChar">
    <w:name w:val="Footnote Text Char"/>
    <w:basedOn w:val="DefaultParagraphFont"/>
    <w:link w:val="FootnoteText"/>
    <w:uiPriority w:val="99"/>
    <w:rsid w:val="001216BB"/>
    <w:rPr>
      <w:sz w:val="24"/>
      <w:szCs w:val="24"/>
    </w:rPr>
  </w:style>
  <w:style w:type="character" w:styleId="FootnoteReference">
    <w:name w:val="footnote reference"/>
    <w:basedOn w:val="DefaultParagraphFont"/>
    <w:uiPriority w:val="99"/>
    <w:unhideWhenUsed/>
    <w:rsid w:val="001216BB"/>
    <w:rPr>
      <w:vertAlign w:val="superscript"/>
    </w:rPr>
  </w:style>
  <w:style w:type="paragraph" w:styleId="Header">
    <w:name w:val="header"/>
    <w:basedOn w:val="Normal"/>
    <w:link w:val="HeaderChar"/>
    <w:uiPriority w:val="99"/>
    <w:unhideWhenUsed/>
    <w:rsid w:val="00BF37A6"/>
    <w:pPr>
      <w:tabs>
        <w:tab w:val="center" w:pos="4320"/>
        <w:tab w:val="right" w:pos="8640"/>
      </w:tabs>
      <w:spacing w:line="240" w:lineRule="auto"/>
    </w:pPr>
  </w:style>
  <w:style w:type="character" w:customStyle="1" w:styleId="HeaderChar">
    <w:name w:val="Header Char"/>
    <w:basedOn w:val="DefaultParagraphFont"/>
    <w:link w:val="Header"/>
    <w:uiPriority w:val="99"/>
    <w:rsid w:val="00BF37A6"/>
  </w:style>
  <w:style w:type="paragraph" w:styleId="Footer">
    <w:name w:val="footer"/>
    <w:basedOn w:val="Normal"/>
    <w:link w:val="FooterChar"/>
    <w:uiPriority w:val="99"/>
    <w:unhideWhenUsed/>
    <w:rsid w:val="00BF37A6"/>
    <w:pPr>
      <w:tabs>
        <w:tab w:val="center" w:pos="4320"/>
        <w:tab w:val="right" w:pos="8640"/>
      </w:tabs>
      <w:spacing w:line="240" w:lineRule="auto"/>
    </w:pPr>
  </w:style>
  <w:style w:type="character" w:customStyle="1" w:styleId="FooterChar">
    <w:name w:val="Footer Char"/>
    <w:basedOn w:val="DefaultParagraphFont"/>
    <w:link w:val="Footer"/>
    <w:uiPriority w:val="99"/>
    <w:rsid w:val="00BF37A6"/>
  </w:style>
  <w:style w:type="paragraph" w:customStyle="1" w:styleId="Normal10">
    <w:name w:val="Normal1"/>
    <w:rsid w:val="00182380"/>
  </w:style>
  <w:style w:type="character" w:styleId="FollowedHyperlink">
    <w:name w:val="FollowedHyperlink"/>
    <w:basedOn w:val="DefaultParagraphFont"/>
    <w:uiPriority w:val="99"/>
    <w:semiHidden/>
    <w:unhideWhenUsed/>
    <w:rsid w:val="00790EA2"/>
    <w:rPr>
      <w:color w:val="800080" w:themeColor="followedHyperlink"/>
      <w:u w:val="single"/>
    </w:rPr>
  </w:style>
  <w:style w:type="character" w:customStyle="1" w:styleId="Heading7Char">
    <w:name w:val="Heading 7 Char"/>
    <w:basedOn w:val="DefaultParagraphFont"/>
    <w:link w:val="Heading7"/>
    <w:uiPriority w:val="9"/>
    <w:semiHidden/>
    <w:rsid w:val="00944929"/>
    <w:rPr>
      <w:rFonts w:asciiTheme="majorHAnsi" w:eastAsiaTheme="majorEastAsia" w:hAnsiTheme="majorHAnsi" w:cstheme="majorBidi"/>
      <w:i/>
      <w:iCs/>
      <w:color w:val="404040" w:themeColor="text1" w:themeTint="BF"/>
    </w:rPr>
  </w:style>
  <w:style w:type="paragraph" w:customStyle="1" w:styleId="normal0">
    <w:name w:val="normal"/>
    <w:rsid w:val="00D867C9"/>
  </w:style>
  <w:style w:type="character" w:styleId="PageNumber">
    <w:name w:val="page number"/>
    <w:basedOn w:val="DefaultParagraphFont"/>
    <w:uiPriority w:val="99"/>
    <w:semiHidden/>
    <w:unhideWhenUsed/>
    <w:rsid w:val="008A5D41"/>
  </w:style>
</w:styles>
</file>

<file path=word/webSettings.xml><?xml version="1.0" encoding="utf-8"?>
<w:webSettings xmlns:r="http://schemas.openxmlformats.org/officeDocument/2006/relationships" xmlns:w="http://schemas.openxmlformats.org/wordprocessingml/2006/main">
  <w:divs>
    <w:div w:id="209536132">
      <w:bodyDiv w:val="1"/>
      <w:marLeft w:val="0"/>
      <w:marRight w:val="0"/>
      <w:marTop w:val="0"/>
      <w:marBottom w:val="0"/>
      <w:divBdr>
        <w:top w:val="none" w:sz="0" w:space="0" w:color="auto"/>
        <w:left w:val="none" w:sz="0" w:space="0" w:color="auto"/>
        <w:bottom w:val="none" w:sz="0" w:space="0" w:color="auto"/>
        <w:right w:val="none" w:sz="0" w:space="0" w:color="auto"/>
      </w:divBdr>
    </w:div>
    <w:div w:id="1154420527">
      <w:bodyDiv w:val="1"/>
      <w:marLeft w:val="0"/>
      <w:marRight w:val="0"/>
      <w:marTop w:val="0"/>
      <w:marBottom w:val="0"/>
      <w:divBdr>
        <w:top w:val="none" w:sz="0" w:space="0" w:color="auto"/>
        <w:left w:val="none" w:sz="0" w:space="0" w:color="auto"/>
        <w:bottom w:val="none" w:sz="0" w:space="0" w:color="auto"/>
        <w:right w:val="none" w:sz="0" w:space="0" w:color="auto"/>
      </w:divBdr>
    </w:div>
    <w:div w:id="1834252068">
      <w:bodyDiv w:val="1"/>
      <w:marLeft w:val="0"/>
      <w:marRight w:val="0"/>
      <w:marTop w:val="0"/>
      <w:marBottom w:val="0"/>
      <w:divBdr>
        <w:top w:val="none" w:sz="0" w:space="0" w:color="auto"/>
        <w:left w:val="none" w:sz="0" w:space="0" w:color="auto"/>
        <w:bottom w:val="none" w:sz="0" w:space="0" w:color="auto"/>
        <w:right w:val="none" w:sz="0" w:space="0" w:color="auto"/>
      </w:divBdr>
      <w:divsChild>
        <w:div w:id="1337222819">
          <w:marLeft w:val="0"/>
          <w:marRight w:val="0"/>
          <w:marTop w:val="0"/>
          <w:marBottom w:val="0"/>
          <w:divBdr>
            <w:top w:val="none" w:sz="0" w:space="0" w:color="auto"/>
            <w:left w:val="none" w:sz="0" w:space="0" w:color="auto"/>
            <w:bottom w:val="none" w:sz="0" w:space="0" w:color="auto"/>
            <w:right w:val="none" w:sz="0" w:space="0" w:color="auto"/>
          </w:divBdr>
        </w:div>
        <w:div w:id="478692984">
          <w:marLeft w:val="0"/>
          <w:marRight w:val="0"/>
          <w:marTop w:val="0"/>
          <w:marBottom w:val="0"/>
          <w:divBdr>
            <w:top w:val="none" w:sz="0" w:space="0" w:color="auto"/>
            <w:left w:val="none" w:sz="0" w:space="0" w:color="auto"/>
            <w:bottom w:val="none" w:sz="0" w:space="0" w:color="auto"/>
            <w:right w:val="none" w:sz="0" w:space="0" w:color="auto"/>
          </w:divBdr>
        </w:div>
        <w:div w:id="1994408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nergy.ca.gov/2007publications/CEC-100-2007-008/CEC-100-2007-008-CMF-E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ca.gov/news.php?id=175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c.ca.gov/NR/rdonlyres/A54B59C2-D571-440D-9477-3363726F573A/0/CAEnergyEfficiencyStrategicPlan_Jan2011.pdf" TargetMode="External"/><Relationship Id="rId4" Type="http://schemas.openxmlformats.org/officeDocument/2006/relationships/settings" Target="settings.xml"/><Relationship Id="rId9" Type="http://schemas.openxmlformats.org/officeDocument/2006/relationships/hyperlink" Target="http://www.energy.ca.gov/2007publications/CEC-100-2007-008/CEC-100-2007-008-CMF-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E850C-1B14-4E44-ABEF-10B669E1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5010</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Original NZE Task Group Proposals.docx</vt:lpstr>
    </vt:vector>
  </TitlesOfParts>
  <Company>GSA</Company>
  <LinksUpToDate>false</LinksUpToDate>
  <CharactersWithSpaces>33506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NZE Task Group Proposals.docx</dc:title>
  <dc:creator>KennethGSandler</dc:creator>
  <cp:lastModifiedBy>KenSandler</cp:lastModifiedBy>
  <cp:revision>2</cp:revision>
  <cp:lastPrinted>2014-09-19T16:27:00Z</cp:lastPrinted>
  <dcterms:created xsi:type="dcterms:W3CDTF">2014-09-30T14:34:00Z</dcterms:created>
  <dcterms:modified xsi:type="dcterms:W3CDTF">2014-09-30T14:34:00Z</dcterms:modified>
</cp:coreProperties>
</file>