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06" w:rsidRDefault="00940189">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rPr>
      </w:pPr>
      <w:bookmarkStart w:id="0" w:name="_GoBack"/>
      <w:bookmarkEnd w:id="0"/>
      <w:r>
        <w:rPr>
          <w:rFonts w:ascii="Times New Roman" w:eastAsia="Times New Roman" w:hAnsi="Times New Roman" w:cs="Times New Roman"/>
          <w:b/>
          <w:sz w:val="27"/>
          <w:szCs w:val="27"/>
        </w:rPr>
        <w:t>Public Service Announcement Development</w:t>
      </w:r>
    </w:p>
    <w:p w:rsidR="00201306" w:rsidRDefault="0094018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Performance Work Statement</w:t>
      </w:r>
    </w:p>
    <w:p w:rsidR="00201306" w:rsidRDefault="00940189">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rsidR="00201306" w:rsidRDefault="00201306">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p w:rsidR="00201306" w:rsidRDefault="00940189">
      <w:pPr>
        <w:widowControl w:val="0"/>
        <w:pBdr>
          <w:top w:val="nil"/>
          <w:left w:val="nil"/>
          <w:bottom w:val="nil"/>
          <w:right w:val="nil"/>
          <w:between w:val="nil"/>
        </w:pBdr>
        <w:spacing w:line="240" w:lineRule="auto"/>
        <w:ind w:left="6" w:right="371" w:firstLine="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Title: </w:t>
      </w:r>
      <w:r>
        <w:rPr>
          <w:rFonts w:ascii="Times New Roman" w:eastAsia="Times New Roman" w:hAnsi="Times New Roman" w:cs="Times New Roman"/>
          <w:color w:val="000000"/>
          <w:sz w:val="24"/>
          <w:szCs w:val="24"/>
        </w:rPr>
        <w:t>Public Service Announcement</w:t>
      </w:r>
      <w:r>
        <w:rPr>
          <w:rFonts w:ascii="Times New Roman" w:eastAsia="Times New Roman" w:hAnsi="Times New Roman" w:cs="Times New Roman"/>
          <w:sz w:val="24"/>
          <w:szCs w:val="24"/>
        </w:rPr>
        <w:t xml:space="preserve"> Development</w:t>
      </w:r>
      <w:r>
        <w:rPr>
          <w:rFonts w:ascii="Times New Roman" w:eastAsia="Times New Roman" w:hAnsi="Times New Roman" w:cs="Times New Roman"/>
          <w:color w:val="000000"/>
          <w:sz w:val="24"/>
          <w:szCs w:val="24"/>
        </w:rPr>
        <w:t xml:space="preserve"> for Lead Based Paint</w:t>
      </w:r>
    </w:p>
    <w:p w:rsidR="00201306" w:rsidRDefault="00940189">
      <w:pPr>
        <w:widowControl w:val="0"/>
        <w:pBdr>
          <w:top w:val="nil"/>
          <w:left w:val="nil"/>
          <w:bottom w:val="nil"/>
          <w:right w:val="nil"/>
          <w:between w:val="nil"/>
        </w:pBdr>
        <w:spacing w:line="240" w:lineRule="auto"/>
        <w:ind w:left="6" w:right="371"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1306" w:rsidRDefault="00940189">
      <w:pPr>
        <w:widowControl w:val="0"/>
        <w:pBdr>
          <w:top w:val="nil"/>
          <w:left w:val="nil"/>
          <w:bottom w:val="nil"/>
          <w:right w:val="nil"/>
          <w:between w:val="nil"/>
        </w:pBdr>
        <w:spacing w:line="240" w:lineRule="auto"/>
        <w:ind w:left="6" w:right="371" w:firstLine="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Period of Performance </w:t>
      </w:r>
    </w:p>
    <w:p w:rsidR="00201306" w:rsidRDefault="00940189">
      <w:pPr>
        <w:widowControl w:val="0"/>
        <w:pBdr>
          <w:top w:val="nil"/>
          <w:left w:val="nil"/>
          <w:bottom w:val="nil"/>
          <w:right w:val="nil"/>
          <w:between w:val="nil"/>
        </w:pBdr>
        <w:spacing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period of performance for this purchase order will be  </w:t>
      </w:r>
    </w:p>
    <w:p w:rsidR="00201306" w:rsidRDefault="00940189">
      <w:pPr>
        <w:widowControl w:val="0"/>
        <w:pBdr>
          <w:top w:val="nil"/>
          <w:left w:val="nil"/>
          <w:bottom w:val="nil"/>
          <w:right w:val="nil"/>
          <w:between w:val="nil"/>
        </w:pBdr>
        <w:spacing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Base Period </w:t>
      </w:r>
      <w:r>
        <w:rPr>
          <w:rFonts w:ascii="Times New Roman" w:eastAsia="Times New Roman" w:hAnsi="Times New Roman" w:cs="Times New Roman"/>
          <w:color w:val="000000"/>
          <w:sz w:val="24"/>
          <w:szCs w:val="24"/>
        </w:rPr>
        <w:t xml:space="preserve">–Date of Award- Oct 31, 2021  </w:t>
      </w:r>
    </w:p>
    <w:p w:rsidR="00201306" w:rsidRDefault="00940189">
      <w:pPr>
        <w:widowControl w:val="0"/>
        <w:pBdr>
          <w:top w:val="nil"/>
          <w:left w:val="nil"/>
          <w:bottom w:val="nil"/>
          <w:right w:val="nil"/>
          <w:between w:val="nil"/>
        </w:pBdr>
        <w:spacing w:line="240" w:lineRule="auto"/>
        <w:ind w:left="7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Option Period</w:t>
      </w:r>
      <w:r>
        <w:rPr>
          <w:rFonts w:ascii="Times New Roman" w:eastAsia="Times New Roman" w:hAnsi="Times New Roman" w:cs="Times New Roman"/>
          <w:color w:val="000000"/>
          <w:sz w:val="24"/>
          <w:szCs w:val="24"/>
        </w:rPr>
        <w:t xml:space="preserve">: November 1, 2021-October 31, 2022 (Task 6 only)  </w:t>
      </w: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Background </w:t>
      </w:r>
    </w:p>
    <w:p w:rsidR="00201306" w:rsidRDefault="00940189">
      <w:pPr>
        <w:widowControl w:val="0"/>
        <w:pBdr>
          <w:top w:val="nil"/>
          <w:left w:val="nil"/>
          <w:bottom w:val="nil"/>
          <w:right w:val="nil"/>
          <w:between w:val="nil"/>
        </w:pBdr>
        <w:spacing w:line="240" w:lineRule="auto"/>
        <w:ind w:left="2" w:right="222"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prevalence of childhood lead poisoning in the U.S. is a problem, especially in underserved  communities. According to the Centers for Disease Control and Prevention, about 1 in 30 children (3.3%) in America, in 2015, had elevated levels of lead in thei</w:t>
      </w:r>
      <w:r>
        <w:rPr>
          <w:rFonts w:ascii="Times New Roman" w:eastAsia="Times New Roman" w:hAnsi="Times New Roman" w:cs="Times New Roman"/>
          <w:color w:val="000000"/>
          <w:sz w:val="24"/>
          <w:szCs w:val="24"/>
        </w:rPr>
        <w:t xml:space="preserve">r blood greater than or equal to 5  micrograms per deciliter. This is because approximately 30 million American homes still contain lead based paint, and dwellings in disrepair are a major source of exposure.  </w:t>
      </w:r>
    </w:p>
    <w:p w:rsidR="00201306" w:rsidRDefault="00940189">
      <w:pPr>
        <w:widowControl w:val="0"/>
        <w:pBdr>
          <w:top w:val="nil"/>
          <w:left w:val="nil"/>
          <w:bottom w:val="nil"/>
          <w:right w:val="nil"/>
          <w:between w:val="nil"/>
        </w:pBdr>
        <w:spacing w:line="240" w:lineRule="auto"/>
        <w:ind w:left="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metropolitan areas in Region 7 have som</w:t>
      </w:r>
      <w:r>
        <w:rPr>
          <w:rFonts w:ascii="Times New Roman" w:eastAsia="Times New Roman" w:hAnsi="Times New Roman" w:cs="Times New Roman"/>
          <w:color w:val="000000"/>
          <w:sz w:val="24"/>
          <w:szCs w:val="24"/>
        </w:rPr>
        <w:t>e of the highest incident rates of elevated blood-lead  levels (EBLL) in the country, higher than the national rate of lead poisoning. While lead-based paint was  banned for residential use in 1978, much of today’s housing stock was built before 1978 and m</w:t>
      </w:r>
      <w:r>
        <w:rPr>
          <w:rFonts w:ascii="Times New Roman" w:eastAsia="Times New Roman" w:hAnsi="Times New Roman" w:cs="Times New Roman"/>
          <w:color w:val="000000"/>
          <w:sz w:val="24"/>
          <w:szCs w:val="24"/>
        </w:rPr>
        <w:t>ay  contain lead-based paint. The 2017 Census Bureau data indicates that more than 57% of occupied  homes were built prior to 1978. In Springfield, Greene County, 45% of occupied homes were built prior  to 1978. According to data compiled by the</w:t>
      </w:r>
      <w:r>
        <w:rPr>
          <w:rFonts w:ascii="Times New Roman" w:eastAsia="Times New Roman" w:hAnsi="Times New Roman" w:cs="Times New Roman"/>
          <w:color w:val="000000"/>
          <w:sz w:val="24"/>
          <w:szCs w:val="24"/>
          <w:highlight w:val="white"/>
        </w:rPr>
        <w:t xml:space="preserve"> Missouri D</w:t>
      </w:r>
      <w:r>
        <w:rPr>
          <w:rFonts w:ascii="Times New Roman" w:eastAsia="Times New Roman" w:hAnsi="Times New Roman" w:cs="Times New Roman"/>
          <w:color w:val="000000"/>
          <w:sz w:val="24"/>
          <w:szCs w:val="24"/>
          <w:highlight w:val="white"/>
        </w:rPr>
        <w:t xml:space="preserve">epartment of Health and Senior Services </w:t>
      </w:r>
      <w:r>
        <w:rPr>
          <w:rFonts w:ascii="Times New Roman" w:eastAsia="Times New Roman" w:hAnsi="Times New Roman" w:cs="Times New Roman"/>
          <w:color w:val="000000"/>
          <w:sz w:val="24"/>
          <w:szCs w:val="24"/>
        </w:rPr>
        <w:t>in  2017, approximately 15% of children under 6 years old were tested for lead in Greene County. Of the  children tested, 2.5% had elevated blood lead levels of 5 µg/dL or greater while 15% had levels in the  range o</w:t>
      </w:r>
      <w:r>
        <w:rPr>
          <w:rFonts w:ascii="Times New Roman" w:eastAsia="Times New Roman" w:hAnsi="Times New Roman" w:cs="Times New Roman"/>
          <w:color w:val="000000"/>
          <w:sz w:val="24"/>
          <w:szCs w:val="24"/>
        </w:rPr>
        <w:t xml:space="preserve">f 3 – 4.9 µg/dL. The goal is to increase testing in the focus areas of zip codes 65802 and 65803.  </w:t>
      </w:r>
    </w:p>
    <w:p w:rsidR="00201306" w:rsidRDefault="00201306">
      <w:pPr>
        <w:widowControl w:val="0"/>
        <w:pBdr>
          <w:top w:val="nil"/>
          <w:left w:val="nil"/>
          <w:bottom w:val="nil"/>
          <w:right w:val="nil"/>
          <w:between w:val="nil"/>
        </w:pBdr>
        <w:spacing w:line="240" w:lineRule="auto"/>
        <w:ind w:left="367"/>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Objective/Purpose </w:t>
      </w:r>
    </w:p>
    <w:p w:rsidR="00201306" w:rsidRDefault="00940189">
      <w:pPr>
        <w:widowControl w:val="0"/>
        <w:pBdr>
          <w:top w:val="nil"/>
          <w:left w:val="nil"/>
          <w:bottom w:val="nil"/>
          <w:right w:val="nil"/>
          <w:between w:val="nil"/>
        </w:pBdr>
        <w:spacing w:line="240" w:lineRule="auto"/>
        <w:ind w:left="6" w:right="9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provide the necessary personnel, facilities and equipment, to produce three public  service video announcements (PSA) and three audio PSA’s. Each PSA will focus on protecting families  from lead-based paint hazards and getting children</w:t>
      </w:r>
      <w:r>
        <w:rPr>
          <w:rFonts w:ascii="Times New Roman" w:eastAsia="Times New Roman" w:hAnsi="Times New Roman" w:cs="Times New Roman"/>
          <w:color w:val="000000"/>
          <w:sz w:val="24"/>
          <w:szCs w:val="24"/>
        </w:rPr>
        <w:t xml:space="preserve"> tested. During the option period the contractor will Distribute and Task Consumption/Engagement of the Public Service Announcements only.  </w:t>
      </w:r>
    </w:p>
    <w:p w:rsidR="00201306" w:rsidRDefault="00201306">
      <w:pPr>
        <w:widowControl w:val="0"/>
        <w:pBdr>
          <w:top w:val="nil"/>
          <w:left w:val="nil"/>
          <w:bottom w:val="nil"/>
          <w:right w:val="nil"/>
          <w:between w:val="nil"/>
        </w:pBdr>
        <w:spacing w:line="240" w:lineRule="auto"/>
        <w:ind w:left="367"/>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Assumptions and Constraints </w:t>
      </w:r>
    </w:p>
    <w:p w:rsidR="00201306" w:rsidRDefault="00940189">
      <w:pPr>
        <w:widowControl w:val="0"/>
        <w:pBdr>
          <w:top w:val="nil"/>
          <w:left w:val="nil"/>
          <w:bottom w:val="nil"/>
          <w:right w:val="nil"/>
          <w:between w:val="nil"/>
        </w:pBdr>
        <w:spacing w:line="240" w:lineRule="auto"/>
        <w:ind w:left="10" w:right="15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contractor shall perform this work as efficiently as possible. It is important that the contractor shall distribute the PSA’s to the agreed upon media market and that they track consumption and engagement  analytics</w:t>
      </w:r>
      <w:r>
        <w:rPr>
          <w:rFonts w:ascii="Times New Roman" w:eastAsia="Times New Roman" w:hAnsi="Times New Roman" w:cs="Times New Roman"/>
          <w:b/>
          <w:color w:val="000000"/>
          <w:sz w:val="24"/>
          <w:szCs w:val="24"/>
        </w:rPr>
        <w:t>.</w:t>
      </w:r>
    </w:p>
    <w:p w:rsidR="00201306" w:rsidRDefault="00201306">
      <w:pPr>
        <w:widowControl w:val="0"/>
        <w:pBdr>
          <w:top w:val="nil"/>
          <w:left w:val="nil"/>
          <w:bottom w:val="nil"/>
          <w:right w:val="nil"/>
          <w:between w:val="nil"/>
        </w:pBdr>
        <w:spacing w:line="240" w:lineRule="auto"/>
        <w:ind w:left="364"/>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Tasks  </w:t>
      </w: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 1: Produce Video Scripts and Storyboards </w:t>
      </w:r>
    </w:p>
    <w:p w:rsidR="00201306" w:rsidRDefault="00940189">
      <w:pPr>
        <w:widowControl w:val="0"/>
        <w:pBdr>
          <w:top w:val="nil"/>
          <w:left w:val="nil"/>
          <w:bottom w:val="nil"/>
          <w:right w:val="nil"/>
          <w:between w:val="nil"/>
        </w:pBdr>
        <w:spacing w:line="240" w:lineRule="auto"/>
        <w:ind w:left="2" w:right="16"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produce three video scripts and storyboards. One each for a 1 minute, 30 second,  and 15 second PSA. Each storyboard shall visually depict general setting and action in each scene. Each  script shall describe the specific hazards of le</w:t>
      </w:r>
      <w:r>
        <w:rPr>
          <w:rFonts w:ascii="Times New Roman" w:eastAsia="Times New Roman" w:hAnsi="Times New Roman" w:cs="Times New Roman"/>
          <w:color w:val="000000"/>
          <w:sz w:val="24"/>
          <w:szCs w:val="24"/>
        </w:rPr>
        <w:t xml:space="preserve">ad-based paint and how to </w:t>
      </w:r>
      <w:r>
        <w:rPr>
          <w:rFonts w:ascii="Times New Roman" w:eastAsia="Times New Roman" w:hAnsi="Times New Roman" w:cs="Times New Roman"/>
          <w:color w:val="000000"/>
          <w:sz w:val="24"/>
          <w:szCs w:val="24"/>
        </w:rPr>
        <w:lastRenderedPageBreak/>
        <w:t xml:space="preserve">prevent lead poisoning. Each  script shall encourage child blood lead level testing or screening and who to contact. Scripts shall be  based on information provided </w:t>
      </w:r>
      <w:r>
        <w:rPr>
          <w:rFonts w:ascii="Times New Roman" w:eastAsia="Times New Roman" w:hAnsi="Times New Roman" w:cs="Times New Roman"/>
          <w:sz w:val="24"/>
          <w:szCs w:val="24"/>
        </w:rPr>
        <w:t>to the contractor</w:t>
      </w:r>
      <w:r>
        <w:rPr>
          <w:rFonts w:ascii="Times New Roman" w:eastAsia="Times New Roman" w:hAnsi="Times New Roman" w:cs="Times New Roman"/>
          <w:color w:val="000000"/>
          <w:sz w:val="24"/>
          <w:szCs w:val="24"/>
        </w:rPr>
        <w:t xml:space="preserve"> by EPA Region 7. Scripts shall be written in tw</w:t>
      </w:r>
      <w:r>
        <w:rPr>
          <w:rFonts w:ascii="Times New Roman" w:eastAsia="Times New Roman" w:hAnsi="Times New Roman" w:cs="Times New Roman"/>
          <w:color w:val="000000"/>
          <w:sz w:val="24"/>
          <w:szCs w:val="24"/>
        </w:rPr>
        <w:t>o-column  A/V or theatrical format and must include visual and audio in complete detail. Completed scripts and  storyboards are due to Subject Matter Expert (SME), within 2 weeks of contract award. EPA staff shall  review and provide comments and request e</w:t>
      </w:r>
      <w:r>
        <w:rPr>
          <w:rFonts w:ascii="Times New Roman" w:eastAsia="Times New Roman" w:hAnsi="Times New Roman" w:cs="Times New Roman"/>
          <w:color w:val="000000"/>
          <w:sz w:val="24"/>
          <w:szCs w:val="24"/>
        </w:rPr>
        <w:t xml:space="preserve">dits. After receipt of EPA comments, final scripts shall be  delivered to EPA by contractor not later than 1 week after receipt of EPA comments.  </w:t>
      </w:r>
    </w:p>
    <w:p w:rsidR="00201306" w:rsidRDefault="00201306">
      <w:pPr>
        <w:widowControl w:val="0"/>
        <w:pBdr>
          <w:top w:val="nil"/>
          <w:left w:val="nil"/>
          <w:bottom w:val="nil"/>
          <w:right w:val="nil"/>
          <w:between w:val="nil"/>
        </w:pBdr>
        <w:spacing w:line="240" w:lineRule="auto"/>
        <w:ind w:left="11"/>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 2: Produce Audio PSA Scripts  </w:t>
      </w:r>
    </w:p>
    <w:p w:rsidR="00201306" w:rsidRDefault="00940189">
      <w:pPr>
        <w:widowControl w:val="0"/>
        <w:pBdr>
          <w:top w:val="nil"/>
          <w:left w:val="nil"/>
          <w:bottom w:val="nil"/>
          <w:right w:val="nil"/>
          <w:between w:val="nil"/>
        </w:pBdr>
        <w:spacing w:line="240" w:lineRule="auto"/>
        <w:ind w:left="4" w:right="1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information in EPA approved video scripts, </w:t>
      </w:r>
      <w:r>
        <w:rPr>
          <w:rFonts w:ascii="Times New Roman" w:eastAsia="Times New Roman" w:hAnsi="Times New Roman" w:cs="Times New Roman"/>
          <w:sz w:val="24"/>
          <w:szCs w:val="24"/>
        </w:rPr>
        <w:t>the contractor</w:t>
      </w:r>
      <w:r>
        <w:rPr>
          <w:rFonts w:ascii="Times New Roman" w:eastAsia="Times New Roman" w:hAnsi="Times New Roman" w:cs="Times New Roman"/>
          <w:color w:val="000000"/>
          <w:sz w:val="24"/>
          <w:szCs w:val="24"/>
        </w:rPr>
        <w:t xml:space="preserve"> shall</w:t>
      </w:r>
      <w:r>
        <w:rPr>
          <w:rFonts w:ascii="Times New Roman" w:eastAsia="Times New Roman" w:hAnsi="Times New Roman" w:cs="Times New Roman"/>
          <w:color w:val="000000"/>
          <w:sz w:val="24"/>
          <w:szCs w:val="24"/>
        </w:rPr>
        <w:t xml:space="preserve"> produce three audio PSA scripts.  One each for a 1 minute, 30 second, and 15 second PSA. Completed audio scripts are due to SME,  within 2 weeks of contract award. EPA staff shall review and provide comments and request edits.  After receipt of EPA commen</w:t>
      </w:r>
      <w:r>
        <w:rPr>
          <w:rFonts w:ascii="Times New Roman" w:eastAsia="Times New Roman" w:hAnsi="Times New Roman" w:cs="Times New Roman"/>
          <w:color w:val="000000"/>
          <w:sz w:val="24"/>
          <w:szCs w:val="24"/>
        </w:rPr>
        <w:t xml:space="preserve">ts, final radio PSAs are due to SME by the contractor not later than 1 week  after receipt of EPA comments.  </w:t>
      </w:r>
    </w:p>
    <w:p w:rsidR="00201306" w:rsidRDefault="00201306">
      <w:pPr>
        <w:widowControl w:val="0"/>
        <w:pBdr>
          <w:top w:val="nil"/>
          <w:left w:val="nil"/>
          <w:bottom w:val="nil"/>
          <w:right w:val="nil"/>
          <w:between w:val="nil"/>
        </w:pBdr>
        <w:spacing w:line="240" w:lineRule="auto"/>
        <w:ind w:left="11"/>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 3: Provide Voice Over Recording  </w:t>
      </w:r>
    </w:p>
    <w:p w:rsidR="00201306" w:rsidRDefault="00940189">
      <w:pPr>
        <w:widowControl w:val="0"/>
        <w:pBdr>
          <w:top w:val="nil"/>
          <w:left w:val="nil"/>
          <w:bottom w:val="nil"/>
          <w:right w:val="nil"/>
          <w:between w:val="nil"/>
        </w:pBdr>
        <w:spacing w:line="240" w:lineRule="auto"/>
        <w:ind w:left="4" w:right="2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shall identify talent and send screen sample video recordings based on approved scripts.  Contractor shall provide voice over recording samples of at least 3 individuals proposed for video and  audio PSA’s. Recordings shall be in .mp4 and .mp3 f</w:t>
      </w:r>
      <w:r>
        <w:rPr>
          <w:rFonts w:ascii="Times New Roman" w:eastAsia="Times New Roman" w:hAnsi="Times New Roman" w:cs="Times New Roman"/>
          <w:color w:val="000000"/>
          <w:sz w:val="24"/>
          <w:szCs w:val="24"/>
        </w:rPr>
        <w:t xml:space="preserve">ormat. Sample recordings are due to SME, within 3  weeks of contract award. After receipt of EPA comments, final recordings are due to SME by the  contractor not later than 1 week after receipt of EPA comments.  </w:t>
      </w:r>
    </w:p>
    <w:p w:rsidR="00201306" w:rsidRDefault="00940189">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 4: Research Audiences  </w:t>
      </w:r>
    </w:p>
    <w:p w:rsidR="00201306" w:rsidRDefault="00940189">
      <w:pPr>
        <w:widowControl w:val="0"/>
        <w:pBdr>
          <w:top w:val="nil"/>
          <w:left w:val="nil"/>
          <w:bottom w:val="nil"/>
          <w:right w:val="nil"/>
          <w:between w:val="nil"/>
        </w:pBdr>
        <w:spacing w:line="240" w:lineRule="auto"/>
        <w:ind w:left="2" w:right="4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with EPA, </w:t>
      </w:r>
      <w:r>
        <w:rPr>
          <w:rFonts w:ascii="Times New Roman" w:eastAsia="Times New Roman" w:hAnsi="Times New Roman" w:cs="Times New Roman"/>
          <w:sz w:val="24"/>
          <w:szCs w:val="24"/>
        </w:rPr>
        <w:t>contractors</w:t>
      </w:r>
      <w:r>
        <w:rPr>
          <w:rFonts w:ascii="Times New Roman" w:eastAsia="Times New Roman" w:hAnsi="Times New Roman" w:cs="Times New Roman"/>
          <w:color w:val="000000"/>
          <w:sz w:val="24"/>
          <w:szCs w:val="24"/>
        </w:rPr>
        <w:t xml:space="preserve"> shall identify primary and secondary audiences in the Springfield,  Missouri geographic area for video and audio PSA distribution. Contractor shall identify and present all  proposed distribution channels, including radio, soc</w:t>
      </w:r>
      <w:r>
        <w:rPr>
          <w:rFonts w:ascii="Times New Roman" w:eastAsia="Times New Roman" w:hAnsi="Times New Roman" w:cs="Times New Roman"/>
          <w:color w:val="000000"/>
          <w:sz w:val="24"/>
          <w:szCs w:val="24"/>
        </w:rPr>
        <w:t>ial media, and digital/web. Channels include but are  not limited to all relevant television stations, radio stations, and digital platforms for advertising, such as  Google Ad Manager. Distribution shall be planned and funded for one calendar year by cont</w:t>
      </w:r>
      <w:r>
        <w:rPr>
          <w:rFonts w:ascii="Times New Roman" w:eastAsia="Times New Roman" w:hAnsi="Times New Roman" w:cs="Times New Roman"/>
          <w:color w:val="000000"/>
          <w:sz w:val="24"/>
          <w:szCs w:val="24"/>
        </w:rPr>
        <w:t xml:space="preserve">ractor.  Distribution information is due to SME, within 4 weeks of contract award. EPA will review and  approve all proposed channels, delivery methods, and frequency of publication for PSA distribution  prior to deployment. After receipt of EPA comments, </w:t>
      </w:r>
      <w:r>
        <w:rPr>
          <w:rFonts w:ascii="Times New Roman" w:eastAsia="Times New Roman" w:hAnsi="Times New Roman" w:cs="Times New Roman"/>
          <w:color w:val="000000"/>
          <w:sz w:val="24"/>
          <w:szCs w:val="24"/>
        </w:rPr>
        <w:t xml:space="preserve">final distribution information is due to SME by  the contractor not later than 1 week after receipt of EPA comments.  </w:t>
      </w:r>
    </w:p>
    <w:p w:rsidR="00201306" w:rsidRDefault="00201306">
      <w:pPr>
        <w:widowControl w:val="0"/>
        <w:pBdr>
          <w:top w:val="nil"/>
          <w:left w:val="nil"/>
          <w:bottom w:val="nil"/>
          <w:right w:val="nil"/>
          <w:between w:val="nil"/>
        </w:pBdr>
        <w:spacing w:line="240" w:lineRule="auto"/>
        <w:ind w:left="11"/>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 5: Produce Audio/Video and Deliver Digital Platform  </w:t>
      </w:r>
    </w:p>
    <w:p w:rsidR="00201306" w:rsidRDefault="00940189">
      <w:pPr>
        <w:widowControl w:val="0"/>
        <w:pBdr>
          <w:top w:val="nil"/>
          <w:left w:val="nil"/>
          <w:bottom w:val="nil"/>
          <w:right w:val="nil"/>
          <w:between w:val="nil"/>
        </w:pBdr>
        <w:spacing w:line="240" w:lineRule="auto"/>
        <w:ind w:left="4" w:right="4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 shall produce EPA approved audio and video PSA’s and deliver via d</w:t>
      </w:r>
      <w:r>
        <w:rPr>
          <w:rFonts w:ascii="Times New Roman" w:eastAsia="Times New Roman" w:hAnsi="Times New Roman" w:cs="Times New Roman"/>
          <w:color w:val="000000"/>
          <w:sz w:val="24"/>
          <w:szCs w:val="24"/>
        </w:rPr>
        <w:t xml:space="preserve">igital </w:t>
      </w:r>
      <w:r>
        <w:rPr>
          <w:rFonts w:ascii="Times New Roman" w:eastAsia="Times New Roman" w:hAnsi="Times New Roman" w:cs="Times New Roman"/>
          <w:sz w:val="24"/>
          <w:szCs w:val="24"/>
        </w:rPr>
        <w:t>platforms</w:t>
      </w:r>
      <w:r>
        <w:rPr>
          <w:rFonts w:ascii="Times New Roman" w:eastAsia="Times New Roman" w:hAnsi="Times New Roman" w:cs="Times New Roman"/>
          <w:color w:val="000000"/>
          <w:sz w:val="24"/>
          <w:szCs w:val="24"/>
        </w:rPr>
        <w:t>, such as  Dropbox or Adobe Creative Cloud, to SME, for review. Contractor shall provide all relevant 508  compliant scripts and closed captioning files to SME. PSA’s are due to SME, within 8 weeks of contract  award. After receipt of EPA c</w:t>
      </w:r>
      <w:r>
        <w:rPr>
          <w:rFonts w:ascii="Times New Roman" w:eastAsia="Times New Roman" w:hAnsi="Times New Roman" w:cs="Times New Roman"/>
          <w:color w:val="000000"/>
          <w:sz w:val="24"/>
          <w:szCs w:val="24"/>
        </w:rPr>
        <w:t xml:space="preserve">omments, final PSA’s are due to SME by the contractor not later than 1  week after receipt of EPA comments.  </w:t>
      </w:r>
    </w:p>
    <w:p w:rsidR="00201306" w:rsidRDefault="00201306">
      <w:pPr>
        <w:widowControl w:val="0"/>
        <w:pBdr>
          <w:top w:val="nil"/>
          <w:left w:val="nil"/>
          <w:bottom w:val="nil"/>
          <w:right w:val="nil"/>
          <w:between w:val="nil"/>
        </w:pBdr>
        <w:spacing w:line="240" w:lineRule="auto"/>
        <w:ind w:left="11"/>
        <w:rPr>
          <w:rFonts w:ascii="Times New Roman" w:eastAsia="Times New Roman" w:hAnsi="Times New Roman" w:cs="Times New Roman"/>
          <w:b/>
          <w:sz w:val="24"/>
          <w:szCs w:val="24"/>
        </w:rPr>
      </w:pPr>
    </w:p>
    <w:p w:rsidR="00201306" w:rsidRDefault="00201306">
      <w:pPr>
        <w:widowControl w:val="0"/>
        <w:pBdr>
          <w:top w:val="nil"/>
          <w:left w:val="nil"/>
          <w:bottom w:val="nil"/>
          <w:right w:val="nil"/>
          <w:between w:val="nil"/>
        </w:pBdr>
        <w:spacing w:line="240" w:lineRule="auto"/>
        <w:ind w:left="11"/>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Task 6: Distribute and Track Consumption/Engagement </w:t>
      </w:r>
      <w:r>
        <w:rPr>
          <w:rFonts w:ascii="Times New Roman" w:eastAsia="Times New Roman" w:hAnsi="Times New Roman" w:cs="Times New Roman"/>
          <w:color w:val="000000"/>
          <w:sz w:val="24"/>
          <w:szCs w:val="24"/>
        </w:rPr>
        <w:t xml:space="preserve">  </w:t>
      </w:r>
    </w:p>
    <w:p w:rsidR="00201306" w:rsidRDefault="00940189">
      <w:pPr>
        <w:widowControl w:val="0"/>
        <w:pBdr>
          <w:top w:val="nil"/>
          <w:left w:val="nil"/>
          <w:bottom w:val="nil"/>
          <w:right w:val="nil"/>
          <w:between w:val="nil"/>
        </w:pBdr>
        <w:spacing w:line="240" w:lineRule="auto"/>
        <w:ind w:right="2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PSA final approval, </w:t>
      </w:r>
      <w:r>
        <w:rPr>
          <w:rFonts w:ascii="Times New Roman" w:eastAsia="Times New Roman" w:hAnsi="Times New Roman" w:cs="Times New Roman"/>
          <w:sz w:val="24"/>
          <w:szCs w:val="24"/>
        </w:rPr>
        <w:t>the contractor</w:t>
      </w:r>
      <w:r>
        <w:rPr>
          <w:rFonts w:ascii="Times New Roman" w:eastAsia="Times New Roman" w:hAnsi="Times New Roman" w:cs="Times New Roman"/>
          <w:color w:val="000000"/>
          <w:sz w:val="24"/>
          <w:szCs w:val="24"/>
        </w:rPr>
        <w:t xml:space="preserve"> shall distribute to all required media channels within the  Springfield, Missouri geographic area continually for one year. All video and audio broadcasts shall  adhere to 508 compliant standards as they apply to specific delivery platforms. Contractor </w:t>
      </w:r>
      <w:r>
        <w:rPr>
          <w:rFonts w:ascii="Times New Roman" w:eastAsia="Times New Roman" w:hAnsi="Times New Roman" w:cs="Times New Roman"/>
          <w:color w:val="000000"/>
          <w:sz w:val="24"/>
          <w:szCs w:val="24"/>
        </w:rPr>
        <w:lastRenderedPageBreak/>
        <w:t>sh</w:t>
      </w:r>
      <w:r>
        <w:rPr>
          <w:rFonts w:ascii="Times New Roman" w:eastAsia="Times New Roman" w:hAnsi="Times New Roman" w:cs="Times New Roman"/>
          <w:color w:val="000000"/>
          <w:sz w:val="24"/>
          <w:szCs w:val="24"/>
        </w:rPr>
        <w:t xml:space="preserve">all monitor  performance of PSA via available means, agreed upon by EPA, using tools such as Google analytics and  Neilson data, and generate monthly performance reports to EPA based on approved analytics for one  calendar year.  </w:t>
      </w:r>
    </w:p>
    <w:p w:rsidR="00201306" w:rsidRDefault="00201306">
      <w:pPr>
        <w:widowControl w:val="0"/>
        <w:pBdr>
          <w:top w:val="nil"/>
          <w:left w:val="nil"/>
          <w:bottom w:val="nil"/>
          <w:right w:val="nil"/>
          <w:between w:val="nil"/>
        </w:pBdr>
        <w:spacing w:line="240" w:lineRule="auto"/>
        <w:ind w:left="364"/>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A</w:t>
      </w:r>
      <w:r>
        <w:rPr>
          <w:rFonts w:ascii="Times New Roman" w:eastAsia="Times New Roman" w:hAnsi="Times New Roman" w:cs="Times New Roman"/>
          <w:b/>
          <w:sz w:val="24"/>
          <w:szCs w:val="24"/>
        </w:rPr>
        <w:t>cceptable Level of Quality</w:t>
      </w:r>
    </w:p>
    <w:p w:rsidR="00201306" w:rsidRDefault="00940189">
      <w:pPr>
        <w:widowControl w:val="0"/>
        <w:pBdr>
          <w:top w:val="nil"/>
          <w:left w:val="nil"/>
          <w:bottom w:val="nil"/>
          <w:right w:val="nil"/>
          <w:between w:val="nil"/>
        </w:pBdr>
        <w:spacing w:line="240" w:lineRule="auto"/>
        <w:ind w:left="4" w:right="150"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edit all grammatical errors in scripts and errors in radio/video that would require a  resubmission of the work product. Please see QASP for a more detailed description of acceptable level  of quality.  </w:t>
      </w:r>
    </w:p>
    <w:p w:rsidR="00201306" w:rsidRDefault="0020130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VII. Schedule of Deliverables  </w:t>
      </w:r>
    </w:p>
    <w:p w:rsidR="00201306" w:rsidRDefault="00201306">
      <w:pPr>
        <w:widowControl w:val="0"/>
        <w:pBdr>
          <w:top w:val="nil"/>
          <w:left w:val="nil"/>
          <w:bottom w:val="nil"/>
          <w:right w:val="nil"/>
          <w:between w:val="nil"/>
        </w:pBdr>
        <w:spacing w:line="240" w:lineRule="auto"/>
        <w:ind w:left="364"/>
        <w:rPr>
          <w:rFonts w:ascii="Times New Roman" w:eastAsia="Times New Roman" w:hAnsi="Times New Roman" w:cs="Times New Roman"/>
          <w:b/>
          <w:sz w:val="24"/>
          <w:szCs w:val="24"/>
        </w:rPr>
      </w:pPr>
    </w:p>
    <w:tbl>
      <w:tblPr>
        <w:tblStyle w:val="a"/>
        <w:tblW w:w="9000"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5025"/>
        <w:gridCol w:w="2040"/>
        <w:gridCol w:w="975"/>
      </w:tblGrid>
      <w:tr w:rsidR="00201306">
        <w:tc>
          <w:tcPr>
            <w:tcW w:w="960" w:type="dxa"/>
            <w:shd w:val="clear" w:color="auto" w:fill="auto"/>
            <w:tcMar>
              <w:top w:w="100" w:type="dxa"/>
              <w:left w:w="100" w:type="dxa"/>
              <w:bottom w:w="100" w:type="dxa"/>
              <w:right w:w="100" w:type="dxa"/>
            </w:tcMar>
          </w:tcPr>
          <w:p w:rsidR="00201306" w:rsidRDefault="00940189">
            <w:pPr>
              <w:widowControl w:val="0"/>
              <w:spacing w:line="240" w:lineRule="auto"/>
              <w:ind w:right="11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Tasks</w:t>
            </w:r>
          </w:p>
        </w:tc>
        <w:tc>
          <w:tcPr>
            <w:tcW w:w="5025" w:type="dxa"/>
            <w:shd w:val="clear" w:color="auto" w:fill="auto"/>
            <w:tcMar>
              <w:top w:w="100" w:type="dxa"/>
              <w:left w:w="100" w:type="dxa"/>
              <w:bottom w:w="100" w:type="dxa"/>
              <w:right w:w="100" w:type="dxa"/>
            </w:tcMar>
          </w:tcPr>
          <w:p w:rsidR="00201306" w:rsidRDefault="00940189">
            <w:pPr>
              <w:widowControl w:val="0"/>
              <w:spacing w:line="240" w:lineRule="auto"/>
              <w:ind w:right="11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Description</w:t>
            </w:r>
          </w:p>
        </w:tc>
        <w:tc>
          <w:tcPr>
            <w:tcW w:w="2040" w:type="dxa"/>
            <w:shd w:val="clear" w:color="auto" w:fill="auto"/>
            <w:tcMar>
              <w:top w:w="100" w:type="dxa"/>
              <w:left w:w="100" w:type="dxa"/>
              <w:bottom w:w="100" w:type="dxa"/>
              <w:right w:w="100" w:type="dxa"/>
            </w:tcMar>
          </w:tcPr>
          <w:p w:rsidR="00201306" w:rsidRDefault="00940189">
            <w:pPr>
              <w:widowControl w:val="0"/>
              <w:spacing w:line="240" w:lineRule="auto"/>
              <w:ind w:right="11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Time Frame</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ind w:right="11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Dates</w:t>
            </w:r>
          </w:p>
        </w:tc>
      </w:tr>
      <w:tr w:rsidR="00201306">
        <w:tc>
          <w:tcPr>
            <w:tcW w:w="96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Scripts and storyboards</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wks from award</w:t>
            </w:r>
          </w:p>
        </w:tc>
        <w:tc>
          <w:tcPr>
            <w:tcW w:w="97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201306">
        <w:trPr>
          <w:trHeight w:val="135"/>
        </w:trPr>
        <w:tc>
          <w:tcPr>
            <w:tcW w:w="960"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Audio PSAs</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wks from award</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201306">
        <w:trPr>
          <w:trHeight w:val="210"/>
        </w:trPr>
        <w:tc>
          <w:tcPr>
            <w:tcW w:w="960"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Talent and send screen sample video recording</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wks from award</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201306">
        <w:trPr>
          <w:trHeight w:val="660"/>
        </w:trPr>
        <w:tc>
          <w:tcPr>
            <w:tcW w:w="960"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4</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Primary/Secondary for video and audio</w:t>
            </w: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 distribution</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wks from award</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201306">
        <w:tc>
          <w:tcPr>
            <w:tcW w:w="960"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5</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approved radio/video PSA’s via digital</w:t>
            </w: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platform (Dropbox or Adobe Creative Cloud)</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wks from award</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r w:rsidR="00201306">
        <w:tc>
          <w:tcPr>
            <w:tcW w:w="960"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6</w:t>
            </w:r>
          </w:p>
        </w:tc>
        <w:tc>
          <w:tcPr>
            <w:tcW w:w="5025"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to media channels for 1 year and</w:t>
            </w:r>
          </w:p>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monthly performance reports</w:t>
            </w:r>
          </w:p>
        </w:tc>
        <w:tc>
          <w:tcPr>
            <w:tcW w:w="2040" w:type="dxa"/>
            <w:shd w:val="clear" w:color="auto" w:fill="auto"/>
            <w:tcMar>
              <w:top w:w="100" w:type="dxa"/>
              <w:left w:w="100" w:type="dxa"/>
              <w:bottom w:w="100" w:type="dxa"/>
              <w:right w:w="100" w:type="dxa"/>
            </w:tcMar>
          </w:tcPr>
          <w:p w:rsidR="00201306" w:rsidRDefault="0094018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c>
          <w:tcPr>
            <w:tcW w:w="975" w:type="dxa"/>
            <w:shd w:val="clear" w:color="auto" w:fill="auto"/>
            <w:tcMar>
              <w:top w:w="100" w:type="dxa"/>
              <w:left w:w="100" w:type="dxa"/>
              <w:bottom w:w="100" w:type="dxa"/>
              <w:right w:w="100" w:type="dxa"/>
            </w:tcMar>
          </w:tcPr>
          <w:p w:rsidR="00201306" w:rsidRDefault="0094018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r>
    </w:tbl>
    <w:p w:rsidR="00201306" w:rsidRDefault="0020130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2013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01306"/>
    <w:rsid w:val="00201306"/>
    <w:rsid w:val="0094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2020-11-03T16:17:00Z</dcterms:created>
  <dcterms:modified xsi:type="dcterms:W3CDTF">2020-11-03T16:17:00Z</dcterms:modified>
</cp:coreProperties>
</file>