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41FE" w:rsidRDefault="00E03E97">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6441FE" w:rsidRDefault="006441FE">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6441FE" w:rsidRDefault="006441FE">
      <w:pPr>
        <w:widowControl w:val="0"/>
        <w:pBdr>
          <w:top w:val="nil"/>
          <w:left w:val="nil"/>
          <w:bottom w:val="nil"/>
          <w:right w:val="nil"/>
          <w:between w:val="nil"/>
        </w:pBdr>
        <w:jc w:val="center"/>
        <w:rPr>
          <w:rFonts w:ascii="Arial" w:eastAsia="Arial" w:hAnsi="Arial" w:cs="Arial"/>
          <w:b/>
          <w:sz w:val="28"/>
          <w:szCs w:val="28"/>
          <w:u w:val="single"/>
        </w:rPr>
      </w:pPr>
    </w:p>
    <w:sdt>
      <w:sdtPr>
        <w:id w:val="-152383059"/>
        <w:docPartObj>
          <w:docPartGallery w:val="Table of Contents"/>
          <w:docPartUnique/>
        </w:docPartObj>
      </w:sdtPr>
      <w:sdtEndPr/>
      <w:sdtContent>
        <w:p w14:paraId="00000004" w14:textId="77777777" w:rsidR="006441FE" w:rsidRDefault="00E03E97">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6441FE" w:rsidRDefault="00E03E97">
          <w:pPr>
            <w:spacing w:before="200"/>
            <w:rPr>
              <w:color w:val="1155CC"/>
              <w:u w:val="single"/>
            </w:rPr>
          </w:pPr>
          <w:hyperlink w:anchor="_x52s55qx343h">
            <w:r>
              <w:rPr>
                <w:color w:val="1155CC"/>
                <w:u w:val="single"/>
              </w:rPr>
              <w:t>TECHNICAL CAPABILITY</w:t>
            </w:r>
          </w:hyperlink>
        </w:p>
        <w:p w14:paraId="00000006" w14:textId="77777777" w:rsidR="006441FE" w:rsidRDefault="00E03E97">
          <w:pPr>
            <w:spacing w:before="200"/>
            <w:rPr>
              <w:color w:val="1155CC"/>
              <w:u w:val="single"/>
            </w:rPr>
          </w:pPr>
          <w:hyperlink w:anchor="_4f8u20k7c09p">
            <w:r>
              <w:rPr>
                <w:color w:val="1155CC"/>
                <w:u w:val="single"/>
              </w:rPr>
              <w:t>MANAGEMENT APPROACH</w:t>
            </w:r>
          </w:hyperlink>
        </w:p>
        <w:p w14:paraId="00000007" w14:textId="77777777" w:rsidR="006441FE" w:rsidRDefault="00E03E97">
          <w:pPr>
            <w:spacing w:before="200"/>
            <w:rPr>
              <w:color w:val="1155CC"/>
              <w:u w:val="single"/>
            </w:rPr>
          </w:pPr>
          <w:hyperlink w:anchor="_x50jcdz976u4">
            <w:r>
              <w:rPr>
                <w:color w:val="1155CC"/>
                <w:u w:val="single"/>
              </w:rPr>
              <w:t>PERSONNEL EXPERIENCE</w:t>
            </w:r>
          </w:hyperlink>
        </w:p>
        <w:p w14:paraId="00000008" w14:textId="77777777" w:rsidR="006441FE" w:rsidRDefault="00E03E97">
          <w:pPr>
            <w:spacing w:before="200"/>
            <w:rPr>
              <w:color w:val="1155CC"/>
              <w:u w:val="single"/>
            </w:rPr>
          </w:pPr>
          <w:hyperlink w:anchor="_eprv8dflfdrm">
            <w:r>
              <w:rPr>
                <w:color w:val="1155CC"/>
                <w:u w:val="single"/>
              </w:rPr>
              <w:t>STAFFING PLAN</w:t>
            </w:r>
          </w:hyperlink>
        </w:p>
        <w:p w14:paraId="00000009" w14:textId="77777777" w:rsidR="006441FE" w:rsidRDefault="00E03E97">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6441FE" w:rsidRDefault="006441FE">
      <w:pPr>
        <w:rPr>
          <w:rFonts w:ascii="Arial" w:eastAsia="Arial" w:hAnsi="Arial" w:cs="Arial"/>
          <w:b/>
          <w:sz w:val="28"/>
          <w:szCs w:val="28"/>
          <w:u w:val="single"/>
        </w:rPr>
      </w:pPr>
    </w:p>
    <w:p w14:paraId="0000000B" w14:textId="77777777" w:rsidR="006441FE" w:rsidRDefault="006441FE">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6441FE" w:rsidRDefault="006441FE">
      <w:pPr>
        <w:ind w:right="120"/>
        <w:rPr>
          <w:rFonts w:ascii="Arial" w:eastAsia="Arial" w:hAnsi="Arial" w:cs="Arial"/>
        </w:rPr>
      </w:pPr>
    </w:p>
    <w:p w14:paraId="0000000D" w14:textId="77777777" w:rsidR="006441FE" w:rsidRDefault="00E03E97">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based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6441FE" w:rsidRDefault="006441FE">
      <w:pPr>
        <w:ind w:right="120"/>
        <w:rPr>
          <w:rFonts w:ascii="Arial" w:eastAsia="Arial" w:hAnsi="Arial" w:cs="Arial"/>
        </w:rPr>
      </w:pPr>
    </w:p>
    <w:p w14:paraId="0000000F" w14:textId="77777777" w:rsidR="006441FE" w:rsidRDefault="00E03E97">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6441FE" w:rsidRDefault="006441FE">
      <w:pPr>
        <w:ind w:left="720" w:right="648"/>
        <w:rPr>
          <w:rFonts w:ascii="Arial" w:eastAsia="Arial" w:hAnsi="Arial" w:cs="Arial"/>
          <w:sz w:val="22"/>
          <w:szCs w:val="22"/>
        </w:rPr>
      </w:pPr>
    </w:p>
    <w:p w14:paraId="00000011" w14:textId="77777777" w:rsidR="006441FE" w:rsidRDefault="00E03E97">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6441FE" w:rsidRDefault="00E03E97">
      <w:pPr>
        <w:ind w:left="720" w:right="648"/>
        <w:rPr>
          <w:rFonts w:ascii="Arial" w:eastAsia="Arial" w:hAnsi="Arial" w:cs="Arial"/>
        </w:rPr>
      </w:pPr>
      <w:r>
        <w:rPr>
          <w:rFonts w:ascii="Arial" w:eastAsia="Arial" w:hAnsi="Arial" w:cs="Arial"/>
        </w:rPr>
        <w:t xml:space="preserve">                        </w:t>
      </w:r>
    </w:p>
    <w:p w14:paraId="00000013" w14:textId="77777777" w:rsidR="006441FE" w:rsidRDefault="00E03E97">
      <w:pPr>
        <w:pStyle w:val="Heading1"/>
      </w:pPr>
      <w:bookmarkStart w:id="1" w:name="_f99vtphjgpld" w:colFirst="0" w:colLast="0"/>
      <w:bookmarkEnd w:id="1"/>
      <w:r>
        <w:t>CORPORATE EXPERIENCE</w:t>
      </w:r>
    </w:p>
    <w:p w14:paraId="00000014" w14:textId="77777777" w:rsidR="006441FE" w:rsidRDefault="006441FE">
      <w:pPr>
        <w:rPr>
          <w:rFonts w:ascii="Arial" w:eastAsia="Arial" w:hAnsi="Arial" w:cs="Arial"/>
          <w:b/>
        </w:rPr>
      </w:pPr>
    </w:p>
    <w:p w14:paraId="00000015" w14:textId="77777777" w:rsidR="006441FE" w:rsidRDefault="00E03E97">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6441FE" w:rsidRDefault="00E03E97">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6441FE" w:rsidRDefault="00E03E97">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6441FE" w:rsidRDefault="00E03E97">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6441FE" w:rsidRDefault="00E03E97">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6441FE" w:rsidRDefault="00E03E97">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6441FE" w:rsidRDefault="00E03E97">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6441FE" w:rsidRDefault="00E03E97">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6441FE" w:rsidRDefault="00E03E97">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6441FE" w:rsidRDefault="006441FE">
      <w:pPr>
        <w:ind w:right="160"/>
        <w:rPr>
          <w:rFonts w:ascii="Arial" w:eastAsia="Arial" w:hAnsi="Arial" w:cs="Arial"/>
          <w:sz w:val="22"/>
          <w:szCs w:val="22"/>
        </w:rPr>
      </w:pPr>
    </w:p>
    <w:p w14:paraId="0000001F" w14:textId="77777777" w:rsidR="006441FE" w:rsidRDefault="00E03E97">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6441FE" w:rsidRDefault="00E03E97">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6441FE" w:rsidRDefault="006441FE">
      <w:pPr>
        <w:ind w:left="1440"/>
        <w:rPr>
          <w:rFonts w:ascii="Arial" w:eastAsia="Arial" w:hAnsi="Arial" w:cs="Arial"/>
          <w:sz w:val="22"/>
          <w:szCs w:val="22"/>
        </w:rPr>
      </w:pPr>
    </w:p>
    <w:p w14:paraId="00000022" w14:textId="77777777" w:rsidR="006441FE" w:rsidRDefault="00E03E97">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6441FE" w:rsidRDefault="00E03E97">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r>
        <w:rPr>
          <w:rFonts w:ascii="Arial" w:eastAsia="Arial" w:hAnsi="Arial" w:cs="Arial"/>
          <w:sz w:val="22"/>
          <w:szCs w:val="22"/>
        </w:rPr>
        <w:t>The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6441FE" w:rsidRDefault="006441FE">
      <w:pPr>
        <w:rPr>
          <w:rFonts w:ascii="Arial" w:eastAsia="Arial" w:hAnsi="Arial" w:cs="Arial"/>
          <w:b/>
        </w:rPr>
      </w:pPr>
    </w:p>
    <w:p w14:paraId="00000025" w14:textId="77777777" w:rsidR="006441FE" w:rsidRDefault="00E03E97">
      <w:pPr>
        <w:pStyle w:val="Heading1"/>
      </w:pPr>
      <w:bookmarkStart w:id="2" w:name="_x52s55qx343h" w:colFirst="0" w:colLast="0"/>
      <w:bookmarkEnd w:id="2"/>
      <w:r>
        <w:t>TECHNICAL CAPABILITY</w:t>
      </w:r>
    </w:p>
    <w:p w14:paraId="00000026" w14:textId="77777777" w:rsidR="006441FE" w:rsidRDefault="006441FE">
      <w:pPr>
        <w:ind w:right="160"/>
        <w:rPr>
          <w:rFonts w:ascii="Arial" w:eastAsia="Arial" w:hAnsi="Arial" w:cs="Arial"/>
        </w:rPr>
      </w:pPr>
    </w:p>
    <w:p w14:paraId="00000027" w14:textId="77777777" w:rsidR="006441FE" w:rsidRDefault="00E03E97">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 xml:space="preserve">The Government will evaluate the degree to which the technical and management approach demonstrates a </w:t>
      </w:r>
      <w:r>
        <w:rPr>
          <w:rFonts w:ascii="Arial" w:eastAsia="Arial" w:hAnsi="Arial" w:cs="Arial"/>
          <w:sz w:val="22"/>
          <w:szCs w:val="22"/>
        </w:rPr>
        <w:lastRenderedPageBreak/>
        <w:t>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6441FE" w:rsidRDefault="00E03E97">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6441FE" w:rsidRDefault="006441FE">
      <w:pPr>
        <w:ind w:left="1440" w:right="160"/>
        <w:rPr>
          <w:rFonts w:ascii="Arial" w:eastAsia="Arial" w:hAnsi="Arial" w:cs="Arial"/>
          <w:sz w:val="22"/>
          <w:szCs w:val="22"/>
        </w:rPr>
      </w:pPr>
    </w:p>
    <w:p w14:paraId="0000002A" w14:textId="77777777" w:rsidR="006441FE" w:rsidRDefault="00E03E97">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organize,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6441FE" w:rsidRDefault="00E03E97">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6441FE" w:rsidRDefault="006441FE">
      <w:pPr>
        <w:ind w:left="1440" w:right="160"/>
        <w:rPr>
          <w:rFonts w:ascii="Arial" w:eastAsia="Arial" w:hAnsi="Arial" w:cs="Arial"/>
          <w:sz w:val="22"/>
          <w:szCs w:val="22"/>
        </w:rPr>
      </w:pPr>
    </w:p>
    <w:p w14:paraId="0000002D" w14:textId="77777777" w:rsidR="006441FE" w:rsidRDefault="00E03E97">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6441FE" w:rsidRDefault="00E03E97">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6441FE" w:rsidRDefault="006441FE">
      <w:pPr>
        <w:ind w:left="1440" w:right="160"/>
        <w:rPr>
          <w:rFonts w:ascii="Arial" w:eastAsia="Arial" w:hAnsi="Arial" w:cs="Arial"/>
          <w:sz w:val="22"/>
          <w:szCs w:val="22"/>
        </w:rPr>
      </w:pPr>
    </w:p>
    <w:p w14:paraId="00000030" w14:textId="77777777" w:rsidR="006441FE" w:rsidRDefault="00E03E97">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6441FE" w:rsidRDefault="00E03E97">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6441FE" w:rsidRDefault="006441FE">
      <w:pPr>
        <w:ind w:left="1440" w:right="160"/>
        <w:rPr>
          <w:rFonts w:ascii="Arial" w:eastAsia="Arial" w:hAnsi="Arial" w:cs="Arial"/>
          <w:sz w:val="22"/>
          <w:szCs w:val="22"/>
        </w:rPr>
      </w:pPr>
    </w:p>
    <w:p w14:paraId="00000033" w14:textId="77777777" w:rsidR="006441FE" w:rsidRDefault="00E03E97">
      <w:pPr>
        <w:ind w:left="1440" w:right="160"/>
        <w:rPr>
          <w:rFonts w:ascii="Arial" w:eastAsia="Arial" w:hAnsi="Arial" w:cs="Arial"/>
          <w:sz w:val="22"/>
          <w:szCs w:val="22"/>
        </w:rPr>
      </w:pPr>
      <w:r>
        <w:rPr>
          <w:rFonts w:ascii="Arial" w:eastAsia="Arial" w:hAnsi="Arial" w:cs="Arial"/>
          <w:sz w:val="22"/>
          <w:szCs w:val="22"/>
        </w:rPr>
        <w:lastRenderedPageBreak/>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6441FE" w:rsidRDefault="006441FE">
      <w:pPr>
        <w:ind w:right="160"/>
        <w:rPr>
          <w:rFonts w:ascii="Arial" w:eastAsia="Arial" w:hAnsi="Arial" w:cs="Arial"/>
          <w:sz w:val="22"/>
          <w:szCs w:val="22"/>
        </w:rPr>
      </w:pPr>
    </w:p>
    <w:p w14:paraId="00000035" w14:textId="77777777" w:rsidR="006441FE" w:rsidRDefault="00E03E97">
      <w:pPr>
        <w:pStyle w:val="Heading1"/>
        <w:ind w:right="160"/>
      </w:pPr>
      <w:bookmarkStart w:id="3" w:name="_4f8u20k7c09p" w:colFirst="0" w:colLast="0"/>
      <w:bookmarkEnd w:id="3"/>
      <w:r>
        <w:t>MANAGEMENT APPROACH</w:t>
      </w:r>
    </w:p>
    <w:p w14:paraId="00000036" w14:textId="77777777" w:rsidR="006441FE" w:rsidRDefault="006441FE">
      <w:pPr>
        <w:ind w:right="160"/>
        <w:rPr>
          <w:rFonts w:ascii="Arial" w:eastAsia="Arial" w:hAnsi="Arial" w:cs="Arial"/>
          <w:b/>
          <w:sz w:val="22"/>
          <w:szCs w:val="22"/>
        </w:rPr>
      </w:pPr>
    </w:p>
    <w:p w14:paraId="00000037" w14:textId="77777777" w:rsidR="006441FE" w:rsidRDefault="00E03E97">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6441FE" w:rsidRDefault="00E03E97">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6441FE" w:rsidRDefault="00E03E97">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6441FE" w:rsidRDefault="00E03E97">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6441FE" w:rsidRDefault="00E03E97">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 xml:space="preserve">The Offeror shall provide a Management Approach that specifically defines and details the </w:t>
      </w:r>
      <w:r>
        <w:rPr>
          <w:rFonts w:ascii="Arial" w:eastAsia="Arial" w:hAnsi="Arial" w:cs="Arial"/>
          <w:sz w:val="22"/>
          <w:szCs w:val="22"/>
        </w:rPr>
        <w:lastRenderedPageBreak/>
        <w:t>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6441FE" w:rsidRDefault="00E03E97">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6441FE" w:rsidRDefault="00E03E97">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6441FE" w:rsidRDefault="00E03E97">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6441FE" w:rsidRDefault="006441FE">
      <w:pPr>
        <w:tabs>
          <w:tab w:val="left" w:pos="540"/>
          <w:tab w:val="left" w:pos="1080"/>
          <w:tab w:val="left" w:pos="1620"/>
          <w:tab w:val="left" w:pos="2160"/>
        </w:tabs>
        <w:rPr>
          <w:rFonts w:ascii="Calibri" w:eastAsia="Calibri" w:hAnsi="Calibri" w:cs="Calibri"/>
          <w:sz w:val="22"/>
          <w:szCs w:val="22"/>
        </w:rPr>
      </w:pPr>
    </w:p>
    <w:p w14:paraId="00000046" w14:textId="77777777" w:rsidR="006441FE" w:rsidRDefault="00E03E97">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6441FE" w:rsidRDefault="00E03E97">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6441FE" w:rsidRDefault="006441FE">
      <w:pPr>
        <w:tabs>
          <w:tab w:val="left" w:pos="540"/>
          <w:tab w:val="left" w:pos="1080"/>
          <w:tab w:val="left" w:pos="1620"/>
          <w:tab w:val="left" w:pos="2160"/>
        </w:tabs>
        <w:rPr>
          <w:rFonts w:ascii="Arial" w:eastAsia="Arial" w:hAnsi="Arial" w:cs="Arial"/>
          <w:b/>
        </w:rPr>
      </w:pPr>
    </w:p>
    <w:p w14:paraId="00000049" w14:textId="77777777" w:rsidR="006441FE" w:rsidRDefault="00E03E97">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6441FE" w:rsidRDefault="006441FE">
      <w:pPr>
        <w:pBdr>
          <w:top w:val="nil"/>
          <w:left w:val="nil"/>
          <w:bottom w:val="nil"/>
          <w:right w:val="nil"/>
          <w:between w:val="nil"/>
        </w:pBdr>
        <w:ind w:left="720" w:right="648"/>
        <w:rPr>
          <w:rFonts w:ascii="Arial" w:eastAsia="Arial" w:hAnsi="Arial" w:cs="Arial"/>
          <w:sz w:val="22"/>
          <w:szCs w:val="22"/>
        </w:rPr>
      </w:pPr>
    </w:p>
    <w:p w14:paraId="0000004B" w14:textId="77777777" w:rsidR="006441FE" w:rsidRDefault="00E03E97">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6441FE" w:rsidRDefault="006441FE">
      <w:pPr>
        <w:pBdr>
          <w:top w:val="nil"/>
          <w:left w:val="nil"/>
          <w:bottom w:val="nil"/>
          <w:right w:val="nil"/>
          <w:between w:val="nil"/>
        </w:pBdr>
        <w:ind w:left="720" w:right="648"/>
        <w:rPr>
          <w:rFonts w:ascii="Arial" w:eastAsia="Arial" w:hAnsi="Arial" w:cs="Arial"/>
          <w:sz w:val="22"/>
          <w:szCs w:val="22"/>
        </w:rPr>
      </w:pPr>
    </w:p>
    <w:p w14:paraId="0000004D" w14:textId="77777777" w:rsidR="006441FE" w:rsidRDefault="00E03E97">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 xml:space="preserve">strated experience and qualifications of the proposed Key Personnel </w:t>
      </w:r>
      <w:r>
        <w:rPr>
          <w:rFonts w:ascii="Arial" w:eastAsia="Arial" w:hAnsi="Arial" w:cs="Arial"/>
          <w:sz w:val="22"/>
          <w:szCs w:val="22"/>
        </w:rPr>
        <w:lastRenderedPageBreak/>
        <w:t>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6441FE" w:rsidRDefault="006441FE">
      <w:pPr>
        <w:ind w:left="720" w:right="648"/>
        <w:rPr>
          <w:rFonts w:ascii="Arial" w:eastAsia="Arial" w:hAnsi="Arial" w:cs="Arial"/>
          <w:sz w:val="22"/>
          <w:szCs w:val="22"/>
        </w:rPr>
      </w:pPr>
    </w:p>
    <w:p w14:paraId="0000004F" w14:textId="77777777" w:rsidR="006441FE" w:rsidRDefault="00E03E97">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6441FE" w:rsidRDefault="00E03E97">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6441FE" w:rsidRDefault="006441FE">
      <w:pPr>
        <w:ind w:right="648"/>
        <w:rPr>
          <w:rFonts w:ascii="Arial" w:eastAsia="Arial" w:hAnsi="Arial" w:cs="Arial"/>
          <w:sz w:val="22"/>
          <w:szCs w:val="22"/>
        </w:rPr>
      </w:pPr>
    </w:p>
    <w:p w14:paraId="00000052" w14:textId="77777777" w:rsidR="006441FE" w:rsidRDefault="00E03E97">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6441FE" w:rsidRDefault="00E03E97">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6441FE" w:rsidRDefault="00E03E97">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6441FE" w:rsidRDefault="00E03E97">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6441FE" w:rsidRDefault="00E03E97">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6441FE" w:rsidRDefault="00E03E97">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6441FE" w:rsidRDefault="00E03E97">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lastRenderedPageBreak/>
        <w:t>How the Offeror plans to maintain an environment in which highly skilled and talented people will make long-term commitments to achieving this mission;</w:t>
      </w:r>
    </w:p>
    <w:p w14:paraId="0000005A"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6441FE" w:rsidRDefault="00E03E97">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6441FE" w:rsidRDefault="00E03E97">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6441FE" w:rsidRDefault="00E03E97">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6441FE" w:rsidRDefault="00E03E97">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6441FE" w:rsidRDefault="00E03E97">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6441FE" w:rsidRDefault="00E03E97">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lastRenderedPageBreak/>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6441FE" w:rsidRDefault="006441FE">
      <w:pPr>
        <w:tabs>
          <w:tab w:val="left" w:pos="540"/>
          <w:tab w:val="left" w:pos="1080"/>
          <w:tab w:val="left" w:pos="1620"/>
          <w:tab w:val="left" w:pos="2160"/>
        </w:tabs>
        <w:rPr>
          <w:rFonts w:ascii="Arial" w:eastAsia="Arial" w:hAnsi="Arial" w:cs="Arial"/>
          <w:sz w:val="22"/>
          <w:szCs w:val="22"/>
        </w:rPr>
      </w:pPr>
    </w:p>
    <w:p w14:paraId="00000069" w14:textId="77777777" w:rsidR="006441FE" w:rsidRDefault="00E03E97">
      <w:pPr>
        <w:pStyle w:val="Heading1"/>
        <w:ind w:right="160"/>
      </w:pPr>
      <w:bookmarkStart w:id="6" w:name="_afizbqqv5qin" w:colFirst="0" w:colLast="0"/>
      <w:bookmarkEnd w:id="6"/>
      <w:r>
        <w:t>PAST PERFORMANCE</w:t>
      </w:r>
    </w:p>
    <w:p w14:paraId="0000006A" w14:textId="77777777" w:rsidR="006441FE" w:rsidRDefault="00E03E97">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6441FE" w:rsidRDefault="00E03E97">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6441FE" w:rsidRDefault="00E03E97">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6441FE" w:rsidRDefault="006441FE">
      <w:pPr>
        <w:ind w:right="160"/>
        <w:rPr>
          <w:rFonts w:ascii="Arial" w:eastAsia="Arial" w:hAnsi="Arial" w:cs="Arial"/>
        </w:rPr>
      </w:pPr>
    </w:p>
    <w:p w14:paraId="0000006E" w14:textId="77777777" w:rsidR="006441FE" w:rsidRDefault="00E03E97">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6441FE" w:rsidRDefault="00E03E97">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6441FE" w:rsidRDefault="00E03E97">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6441FE" w:rsidRDefault="00E03E97">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6441FE" w:rsidRDefault="006441FE">
      <w:pPr>
        <w:ind w:left="1440" w:right="-360"/>
        <w:rPr>
          <w:rFonts w:ascii="Arial" w:eastAsia="Arial" w:hAnsi="Arial" w:cs="Arial"/>
          <w:sz w:val="22"/>
          <w:szCs w:val="22"/>
        </w:rPr>
      </w:pPr>
    </w:p>
    <w:p w14:paraId="00000073" w14:textId="77777777" w:rsidR="006441FE" w:rsidRDefault="00E03E97">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6441FE" w:rsidRDefault="006441FE">
      <w:pPr>
        <w:ind w:left="1440" w:right="-360"/>
        <w:rPr>
          <w:rFonts w:ascii="Arial" w:eastAsia="Arial" w:hAnsi="Arial" w:cs="Arial"/>
          <w:sz w:val="22"/>
          <w:szCs w:val="22"/>
        </w:rPr>
      </w:pPr>
    </w:p>
    <w:p w14:paraId="00000075" w14:textId="77777777" w:rsidR="006441FE" w:rsidRDefault="00E03E97">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w:t>
      </w:r>
      <w:r>
        <w:rPr>
          <w:rFonts w:ascii="Arial" w:eastAsia="Arial" w:hAnsi="Arial" w:cs="Arial"/>
          <w:sz w:val="22"/>
          <w:szCs w:val="22"/>
        </w:rPr>
        <w:lastRenderedPageBreak/>
        <w:t>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6441FE" w:rsidRDefault="00E03E97">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1) project name, contract and/or task order number; </w:t>
      </w:r>
    </w:p>
    <w:p w14:paraId="00000078"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2) contract dollar value; </w:t>
      </w:r>
    </w:p>
    <w:p w14:paraId="00000079"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3) period of performance; </w:t>
      </w:r>
    </w:p>
    <w:p w14:paraId="0000007A"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4) customer point of contact (including name, work number, cell number, and email address); </w:t>
      </w:r>
    </w:p>
    <w:p w14:paraId="0000007B"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5) detailed description of work performed; </w:t>
      </w:r>
    </w:p>
    <w:p w14:paraId="0000007C"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6) roles and responsibilities; </w:t>
      </w:r>
    </w:p>
    <w:p w14:paraId="0000007D" w14:textId="77777777" w:rsidR="006441FE" w:rsidRDefault="00E03E97">
      <w:pPr>
        <w:ind w:left="2160" w:right="-360"/>
        <w:rPr>
          <w:rFonts w:ascii="Arial" w:eastAsia="Arial" w:hAnsi="Arial" w:cs="Arial"/>
          <w:sz w:val="22"/>
          <w:szCs w:val="22"/>
        </w:rPr>
      </w:pPr>
      <w:r>
        <w:rPr>
          <w:rFonts w:ascii="Arial" w:eastAsia="Arial" w:hAnsi="Arial" w:cs="Arial"/>
          <w:sz w:val="22"/>
          <w:szCs w:val="22"/>
        </w:rPr>
        <w:t xml:space="preserve">7) the results achieved; and </w:t>
      </w:r>
    </w:p>
    <w:p w14:paraId="0000007E" w14:textId="77777777" w:rsidR="006441FE" w:rsidRDefault="00E03E97">
      <w:pPr>
        <w:ind w:left="2160" w:right="-360"/>
        <w:rPr>
          <w:rFonts w:ascii="Arial" w:eastAsia="Arial" w:hAnsi="Arial" w:cs="Arial"/>
          <w:sz w:val="22"/>
          <w:szCs w:val="22"/>
        </w:rPr>
      </w:pPr>
      <w:r>
        <w:rPr>
          <w:rFonts w:ascii="Arial" w:eastAsia="Arial" w:hAnsi="Arial" w:cs="Arial"/>
          <w:sz w:val="22"/>
          <w:szCs w:val="22"/>
        </w:rPr>
        <w:t>8) a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6441FE" w:rsidRDefault="00E03E97">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6441FE" w:rsidRDefault="00E03E97">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6441FE">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5B85" w14:textId="77777777" w:rsidR="00E03E97" w:rsidRDefault="00E03E97">
      <w:r>
        <w:separator/>
      </w:r>
    </w:p>
  </w:endnote>
  <w:endnote w:type="continuationSeparator" w:id="0">
    <w:p w14:paraId="7F92318E" w14:textId="77777777" w:rsidR="00E03E97" w:rsidRDefault="00E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6441FE" w:rsidRDefault="00E03E97">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D84801">
      <w:rPr>
        <w:rFonts w:ascii="Calibri" w:eastAsia="Calibri" w:hAnsi="Calibri" w:cs="Calibri"/>
        <w:color w:val="000000"/>
        <w:sz w:val="22"/>
        <w:szCs w:val="22"/>
      </w:rPr>
      <w:fldChar w:fldCharType="separate"/>
    </w:r>
    <w:r w:rsidR="00D84801">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D84801">
      <w:rPr>
        <w:rFonts w:ascii="Calibri" w:eastAsia="Calibri" w:hAnsi="Calibri" w:cs="Calibri"/>
        <w:color w:val="000000"/>
        <w:sz w:val="22"/>
        <w:szCs w:val="22"/>
      </w:rPr>
      <w:fldChar w:fldCharType="separate"/>
    </w:r>
    <w:r w:rsidR="00D84801">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14:paraId="00000083" w14:textId="77777777" w:rsidR="006441FE" w:rsidRDefault="006441F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6441FE" w:rsidRDefault="00E03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D84801">
      <w:rPr>
        <w:color w:val="000000"/>
      </w:rPr>
      <w:fldChar w:fldCharType="separate"/>
    </w:r>
    <w:r w:rsidR="00D84801">
      <w:rPr>
        <w:noProof/>
        <w:color w:val="000000"/>
      </w:rPr>
      <w:t>1</w:t>
    </w:r>
    <w:r>
      <w:rPr>
        <w:color w:val="000000"/>
      </w:rPr>
      <w:fldChar w:fldCharType="end"/>
    </w:r>
  </w:p>
  <w:p w14:paraId="00000085" w14:textId="77777777" w:rsidR="006441FE" w:rsidRDefault="006441F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945E" w14:textId="77777777" w:rsidR="00E03E97" w:rsidRDefault="00E03E97">
      <w:r>
        <w:separator/>
      </w:r>
    </w:p>
  </w:footnote>
  <w:footnote w:type="continuationSeparator" w:id="0">
    <w:p w14:paraId="217CD353" w14:textId="77777777" w:rsidR="00E03E97" w:rsidRDefault="00E0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6441FE" w:rsidRDefault="006441F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B97"/>
    <w:multiLevelType w:val="multilevel"/>
    <w:tmpl w:val="252E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6343E"/>
    <w:multiLevelType w:val="multilevel"/>
    <w:tmpl w:val="C07E2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97FF2"/>
    <w:multiLevelType w:val="multilevel"/>
    <w:tmpl w:val="71EE5BA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3E6B9A"/>
    <w:multiLevelType w:val="multilevel"/>
    <w:tmpl w:val="94D8C0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2F952F4A"/>
    <w:multiLevelType w:val="multilevel"/>
    <w:tmpl w:val="BAE0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F21617"/>
    <w:multiLevelType w:val="multilevel"/>
    <w:tmpl w:val="4AA4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5047D7"/>
    <w:multiLevelType w:val="multilevel"/>
    <w:tmpl w:val="89700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2F2646"/>
    <w:multiLevelType w:val="multilevel"/>
    <w:tmpl w:val="15F0018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7F77B0"/>
    <w:multiLevelType w:val="multilevel"/>
    <w:tmpl w:val="D74E8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8D6A41"/>
    <w:multiLevelType w:val="multilevel"/>
    <w:tmpl w:val="3044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41FE"/>
    <w:rsid w:val="006441FE"/>
    <w:rsid w:val="00D84801"/>
    <w:rsid w:val="00E0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D84801"/>
    <w:rPr>
      <w:rFonts w:ascii="Tahoma" w:hAnsi="Tahoma" w:cs="Tahoma"/>
      <w:sz w:val="16"/>
      <w:szCs w:val="16"/>
    </w:rPr>
  </w:style>
  <w:style w:type="character" w:customStyle="1" w:styleId="BalloonTextChar">
    <w:name w:val="Balloon Text Char"/>
    <w:basedOn w:val="DefaultParagraphFont"/>
    <w:link w:val="BalloonText"/>
    <w:uiPriority w:val="99"/>
    <w:semiHidden/>
    <w:rsid w:val="00D84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D84801"/>
    <w:rPr>
      <w:rFonts w:ascii="Tahoma" w:hAnsi="Tahoma" w:cs="Tahoma"/>
      <w:sz w:val="16"/>
      <w:szCs w:val="16"/>
    </w:rPr>
  </w:style>
  <w:style w:type="character" w:customStyle="1" w:styleId="BalloonTextChar">
    <w:name w:val="Balloon Text Char"/>
    <w:basedOn w:val="DefaultParagraphFont"/>
    <w:link w:val="BalloonText"/>
    <w:uiPriority w:val="99"/>
    <w:semiHidden/>
    <w:rsid w:val="00D8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2020-11-02T22:06:00Z</dcterms:created>
  <dcterms:modified xsi:type="dcterms:W3CDTF">2020-11-02T22:06:00Z</dcterms:modified>
</cp:coreProperties>
</file>