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4"/>
          <w:szCs w:val="24"/>
        </w:rPr>
      </w:pPr>
      <w:r w:rsidDel="00000000" w:rsidR="00000000" w:rsidRPr="00000000">
        <w:rPr>
          <w:rtl w:val="0"/>
        </w:rPr>
      </w:r>
    </w:p>
    <w:p w:rsidR="00000000" w:rsidDel="00000000" w:rsidP="00000000" w:rsidRDefault="00000000" w:rsidRPr="00000000" w14:paraId="00000002">
      <w:pPr>
        <w:jc w:val="center"/>
        <w:rPr>
          <w:b w:val="1"/>
          <w:bCs w:val="1"/>
          <w:sz w:val="24"/>
          <w:szCs w:val="24"/>
          <w:u w:val="single"/>
        </w:rPr>
      </w:pPr>
      <w:r w:rsidDel="00000000" w:rsidR="00000000" w:rsidRPr="00000000">
        <w:rPr>
          <w:b w:val="1"/>
          <w:bCs w:val="1"/>
          <w:sz w:val="24"/>
          <w:szCs w:val="24"/>
          <w:u w:val="single"/>
          <w:rtl w:val="0"/>
        </w:rPr>
        <w:t xml:space="preserve">SIN 517312 Wireless Mobility Solutions Required Checklist</w:t>
      </w:r>
    </w:p>
    <w:p w:rsidR="00000000" w:rsidDel="00000000" w:rsidP="00000000" w:rsidRDefault="00000000" w:rsidRPr="00000000" w14:paraId="00000003">
      <w:pPr>
        <w:jc w:val="center"/>
        <w:rPr>
          <w:b w:val="1"/>
          <w:bCs w:val="1"/>
          <w:sz w:val="24"/>
          <w:szCs w:val="24"/>
        </w:rPr>
      </w:pPr>
      <w:r w:rsidDel="00000000" w:rsidR="00000000" w:rsidRPr="00000000">
        <w:rPr>
          <w:rtl w:val="0"/>
        </w:rPr>
      </w:r>
    </w:p>
    <w:p w:rsidR="00000000" w:rsidDel="00000000" w:rsidP="00000000" w:rsidRDefault="00000000" w:rsidRPr="00000000" w14:paraId="00000004">
      <w:pPr>
        <w:rPr>
          <w:b w:val="1"/>
          <w:bCs w:val="1"/>
          <w:sz w:val="24"/>
          <w:szCs w:val="24"/>
        </w:rPr>
      </w:pPr>
      <w:r w:rsidDel="00000000" w:rsidR="00000000" w:rsidRPr="00000000">
        <w:rPr>
          <w:b w:val="1"/>
          <w:bCs w:val="1"/>
          <w:sz w:val="24"/>
          <w:szCs w:val="24"/>
          <w:rtl w:val="0"/>
        </w:rPr>
        <w:t xml:space="preserve">I.   Introduction: </w:t>
      </w:r>
    </w:p>
    <w:p w:rsidR="00000000" w:rsidDel="00000000" w:rsidP="00000000" w:rsidRDefault="00000000" w:rsidRPr="00000000" w14:paraId="00000005">
      <w:pPr>
        <w:rPr>
          <w:sz w:val="24"/>
          <w:szCs w:val="24"/>
        </w:rPr>
      </w:pPr>
      <w:r w:rsidDel="00000000" w:rsidR="00000000" w:rsidRPr="00000000">
        <w:rPr>
          <w:sz w:val="24"/>
          <w:szCs w:val="24"/>
          <w:rtl w:val="0"/>
        </w:rPr>
        <w:t xml:space="preserve">Wireless Mobility Solutions (SIN 517312) connects customers with wireless carrier services, mobility infrastructure, device and application management software, mobile security tools, and telecom expense management through one Best-in-class Special Item Number, allowing offerors to obtain awards and catalog solutions across up to 14 distinct subgroups, as well as combine multiple subgroups within a single task order or request.</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 xml:space="preserve">To assist contractors in submitting modification or addition requests for SIN 517312, this checklist has been designed in accordance with the guidelines set forth in the </w:t>
      </w:r>
      <w:hyperlink r:id="rId6">
        <w:r w:rsidDel="00000000" w:rsidR="00000000" w:rsidRPr="00000000">
          <w:rPr>
            <w:color w:val="1155cc"/>
            <w:sz w:val="24"/>
            <w:szCs w:val="24"/>
            <w:u w:val="single"/>
            <w:rtl w:val="0"/>
          </w:rPr>
          <w:t xml:space="preserve">Multiple Award Schedule</w:t>
        </w:r>
      </w:hyperlink>
      <w:r w:rsidDel="00000000" w:rsidR="00000000" w:rsidRPr="00000000">
        <w:rPr>
          <w:sz w:val="24"/>
          <w:szCs w:val="24"/>
          <w:rtl w:val="0"/>
        </w:rPr>
        <w:t xml:space="preserve"> – Information Technology Category Attachment. Completing this checklist is mandatory for any contractor seeking to add SIN 517312 to an existing contract.</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If you have any questions, please refer to </w:t>
      </w:r>
      <w:hyperlink r:id="rId7">
        <w:r w:rsidDel="00000000" w:rsidR="00000000" w:rsidRPr="00000000">
          <w:rPr>
            <w:color w:val="1155cc"/>
            <w:sz w:val="24"/>
            <w:szCs w:val="24"/>
            <w:u w:val="single"/>
            <w:rtl w:val="0"/>
          </w:rPr>
          <w:t xml:space="preserve">Help with MAS contracts to sell to government agencies</w:t>
        </w:r>
      </w:hyperlink>
      <w:r w:rsidDel="00000000" w:rsidR="00000000" w:rsidRPr="00000000">
        <w:rPr>
          <w:sz w:val="24"/>
          <w:szCs w:val="24"/>
          <w:rtl w:val="0"/>
        </w:rPr>
        <w:t xml:space="preserve">. </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b w:val="1"/>
          <w:bCs w:val="1"/>
          <w:sz w:val="24"/>
          <w:szCs w:val="24"/>
          <w:rtl w:val="0"/>
        </w:rPr>
        <w:t xml:space="preserve">II. Submission Requirements: </w:t>
      </w:r>
      <w:r w:rsidDel="00000000" w:rsidR="00000000" w:rsidRPr="00000000">
        <w:rPr>
          <w:sz w:val="24"/>
          <w:szCs w:val="24"/>
          <w:rtl w:val="0"/>
        </w:rPr>
        <w:t xml:space="preserve">The following documentation is required when submitting a request to add SIN 517312 to an existing MAS contract via the </w:t>
      </w:r>
      <w:hyperlink r:id="rId8">
        <w:r w:rsidDel="00000000" w:rsidR="00000000" w:rsidRPr="00000000">
          <w:rPr>
            <w:color w:val="1155cc"/>
            <w:sz w:val="24"/>
            <w:szCs w:val="24"/>
            <w:u w:val="single"/>
            <w:rtl w:val="0"/>
          </w:rPr>
          <w:t xml:space="preserve">eOffer/eMod website</w:t>
        </w:r>
      </w:hyperlink>
      <w:r w:rsidDel="00000000" w:rsidR="00000000" w:rsidRPr="00000000">
        <w:rPr>
          <w:sz w:val="24"/>
          <w:szCs w:val="24"/>
          <w:rtl w:val="0"/>
        </w:rPr>
        <w:t xml:space="preserve">:</w:t>
      </w:r>
    </w:p>
    <w:p w:rsidR="00000000" w:rsidDel="00000000" w:rsidP="00000000" w:rsidRDefault="00000000" w:rsidRPr="00000000" w14:paraId="0000000C">
      <w:pPr>
        <w:rPr>
          <w:sz w:val="24"/>
          <w:szCs w:val="24"/>
          <w:highlight w:val="white"/>
        </w:rPr>
      </w:pPr>
      <w:r w:rsidDel="00000000" w:rsidR="00000000" w:rsidRPr="00000000">
        <w:rPr>
          <w:rtl w:val="0"/>
        </w:rPr>
      </w:r>
    </w:p>
    <w:p w:rsidR="00000000" w:rsidDel="00000000" w:rsidP="00000000" w:rsidRDefault="00000000" w:rsidRPr="00000000" w14:paraId="0000000D">
      <w:pPr>
        <w:ind w:left="720" w:firstLine="0"/>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TAA Compliant Statement: </w:t>
      </w:r>
      <w:r w:rsidDel="00000000" w:rsidR="00000000" w:rsidRPr="00000000">
        <w:rPr>
          <w:color w:val="cc0000"/>
          <w:sz w:val="24"/>
          <w:szCs w:val="24"/>
          <w:rtl w:val="0"/>
        </w:rPr>
        <w:t xml:space="preserve">[Contractor Name]</w:t>
      </w:r>
      <w:r w:rsidDel="00000000" w:rsidR="00000000" w:rsidRPr="00000000">
        <w:rPr>
          <w:sz w:val="24"/>
          <w:szCs w:val="24"/>
          <w:rtl w:val="0"/>
        </w:rPr>
        <w:t xml:space="preserve"> certifies that all proposed products and services comply with the Trade Agreements Act (19 U.S.C. §§ 2501-2581).</w:t>
      </w:r>
    </w:p>
    <w:p w:rsidR="00000000" w:rsidDel="00000000" w:rsidP="00000000" w:rsidRDefault="00000000" w:rsidRPr="00000000" w14:paraId="0000000E">
      <w:pPr>
        <w:ind w:left="720" w:firstLine="0"/>
        <w:rPr>
          <w:sz w:val="24"/>
          <w:szCs w:val="24"/>
          <w:highlight w:val="white"/>
        </w:rPr>
      </w:pPr>
      <w:r w:rsidDel="00000000" w:rsidR="00000000" w:rsidRPr="00000000">
        <w:rPr>
          <w:rtl w:val="0"/>
        </w:rPr>
      </w:r>
    </w:p>
    <w:p w:rsidR="00000000" w:rsidDel="00000000" w:rsidP="00000000" w:rsidRDefault="00000000" w:rsidRPr="00000000" w14:paraId="0000000F">
      <w:pPr>
        <w:ind w:left="720" w:firstLine="0"/>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Letter of Commitment: </w:t>
      </w:r>
      <w:r w:rsidDel="00000000" w:rsidR="00000000" w:rsidRPr="00000000">
        <w:rPr>
          <w:sz w:val="24"/>
          <w:szCs w:val="24"/>
          <w:rtl w:val="0"/>
        </w:rPr>
        <w:t xml:space="preserve">Required if the offeror is not the manufacturer or supplier and is adding a new manufacturer, in accordance with clause I-FSS-644 (Dealers and Suppliers).</w:t>
      </w:r>
    </w:p>
    <w:p w:rsidR="00000000" w:rsidDel="00000000" w:rsidP="00000000" w:rsidRDefault="00000000" w:rsidRPr="00000000" w14:paraId="00000010">
      <w:pPr>
        <w:ind w:left="720" w:firstLine="0"/>
        <w:rPr>
          <w:sz w:val="24"/>
          <w:szCs w:val="24"/>
          <w:highlight w:val="white"/>
        </w:rPr>
      </w:pPr>
      <w:r w:rsidDel="00000000" w:rsidR="00000000" w:rsidRPr="00000000">
        <w:rPr>
          <w:rtl w:val="0"/>
        </w:rPr>
      </w:r>
    </w:p>
    <w:p w:rsidR="00000000" w:rsidDel="00000000" w:rsidP="00000000" w:rsidRDefault="00000000" w:rsidRPr="00000000" w14:paraId="00000011">
      <w:pPr>
        <w:ind w:left="720" w:firstLine="0"/>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Terms of Service (TOS) Agreements: </w:t>
      </w:r>
      <w:r w:rsidDel="00000000" w:rsidR="00000000" w:rsidRPr="00000000">
        <w:rPr>
          <w:sz w:val="24"/>
          <w:szCs w:val="24"/>
          <w:rtl w:val="0"/>
        </w:rPr>
        <w:t xml:space="preserve">Provide end-user license or service agreements, if applicable.</w:t>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ind w:left="720" w:firstLine="0"/>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Technical Proposal: </w:t>
      </w:r>
      <w:r w:rsidDel="00000000" w:rsidR="00000000" w:rsidRPr="00000000">
        <w:rPr>
          <w:sz w:val="24"/>
          <w:szCs w:val="24"/>
          <w:rtl w:val="0"/>
        </w:rPr>
        <w:t xml:space="preserve">Offerors must submit a technical proposal demonstrating their ability to fulfill the requirements of SIN 517312, pursuant to evaluation factors outlined in SCP-FSS-001 (Instructions Applicable to All Offerors). For example, submitting two relevant project narratives from the past two years.</w:t>
      </w:r>
    </w:p>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b w:val="1"/>
          <w:bCs w:val="1"/>
          <w:sz w:val="24"/>
          <w:szCs w:val="24"/>
          <w:rtl w:val="0"/>
        </w:rPr>
        <w:t xml:space="preserve">III.  Subgroup Selection: </w:t>
      </w:r>
      <w:r w:rsidDel="00000000" w:rsidR="00000000" w:rsidRPr="00000000">
        <w:rPr>
          <w:sz w:val="24"/>
          <w:szCs w:val="24"/>
          <w:rtl w:val="0"/>
        </w:rPr>
        <w:t xml:space="preserve">Contractors must select one or more subgroups under SIN 517312 that align with their proposed offerings. For each selected subgroup, provide a description explaining how the contractor’s offering falls within the scope. If providing additional supporting documentation, please clearly list the documents submitted for each subgroup.</w:t>
      </w:r>
    </w:p>
    <w:p w:rsidR="00000000" w:rsidDel="00000000" w:rsidP="00000000" w:rsidRDefault="00000000" w:rsidRPr="00000000" w14:paraId="00000016">
      <w:pPr>
        <w:rPr>
          <w:b w:val="1"/>
          <w:bCs w:val="1"/>
          <w:i w:val="1"/>
          <w:iCs w:val="1"/>
          <w:sz w:val="24"/>
          <w:szCs w:val="24"/>
        </w:rPr>
      </w:pPr>
      <w:r w:rsidDel="00000000" w:rsidR="00000000" w:rsidRPr="00000000">
        <w:rPr>
          <w:b w:val="1"/>
          <w:bCs w:val="1"/>
          <w:i w:val="1"/>
          <w:iCs w:val="1"/>
          <w:sz w:val="24"/>
          <w:szCs w:val="24"/>
          <w:rtl w:val="0"/>
        </w:rPr>
        <w:t xml:space="preserve"> </w:t>
      </w:r>
    </w:p>
    <w:p w:rsidR="00000000" w:rsidDel="00000000" w:rsidP="00000000" w:rsidRDefault="00000000" w:rsidRPr="00000000" w14:paraId="00000017">
      <w:pPr>
        <w:pStyle w:val="Heading1"/>
        <w:spacing w:after="0" w:before="0" w:lineRule="auto"/>
        <w:ind w:left="720" w:right="320" w:firstLine="0"/>
        <w:rPr>
          <w:sz w:val="24"/>
          <w:szCs w:val="24"/>
        </w:rPr>
      </w:pPr>
      <w:bookmarkStart w:colFirst="0" w:colLast="0" w:name="_e2ira08fxkxa" w:id="0"/>
      <w:bookmarkEnd w:id="0"/>
      <w:r w:rsidDel="00000000" w:rsidR="00000000" w:rsidRPr="00000000">
        <w:rPr>
          <w:sz w:val="24"/>
          <w:szCs w:val="24"/>
          <w:rtl w:val="0"/>
        </w:rPr>
        <w:t xml:space="preserve">☐ </w:t>
      </w:r>
      <w:r w:rsidDel="00000000" w:rsidR="00000000" w:rsidRPr="00000000">
        <w:rPr>
          <w:b w:val="1"/>
          <w:bCs w:val="1"/>
          <w:sz w:val="24"/>
          <w:szCs w:val="24"/>
          <w:rtl w:val="0"/>
        </w:rPr>
        <w:t xml:space="preserve">Subgroup 1 -  Wireless Carrier Services </w:t>
        <w:br w:type="textWrapping"/>
      </w:r>
      <w:r w:rsidDel="00000000" w:rsidR="00000000" w:rsidRPr="00000000">
        <w:rPr>
          <w:sz w:val="24"/>
          <w:szCs w:val="24"/>
          <w:rtl w:val="0"/>
        </w:rPr>
        <w:t xml:space="preserve">Including, but not limited to, Wireless Telecommunications Carriers and Telecommunication Resellers of Wireless Services) which support mobile communications in CONUS and OCONUS locations.</w:t>
      </w:r>
    </w:p>
    <w:p w:rsidR="00000000" w:rsidDel="00000000" w:rsidP="00000000" w:rsidRDefault="00000000" w:rsidRPr="00000000" w14:paraId="00000018">
      <w:pPr>
        <w:pStyle w:val="Heading1"/>
        <w:numPr>
          <w:ilvl w:val="0"/>
          <w:numId w:val="3"/>
        </w:numPr>
        <w:spacing w:after="0" w:before="0" w:lineRule="auto"/>
        <w:ind w:left="1440" w:right="320" w:hanging="360"/>
        <w:rPr>
          <w:sz w:val="24"/>
          <w:szCs w:val="24"/>
        </w:rPr>
      </w:pPr>
      <w:bookmarkStart w:colFirst="0" w:colLast="0" w:name="_tyqs38rgoe6k" w:id="1"/>
      <w:bookmarkEnd w:id="1"/>
      <w:r w:rsidDel="00000000" w:rsidR="00000000" w:rsidRPr="00000000">
        <w:rPr>
          <w:sz w:val="24"/>
          <w:szCs w:val="24"/>
          <w:rtl w:val="0"/>
        </w:rPr>
        <w:t xml:space="preserve">Voice Service plans and Features that enable mobile voice communications such as Voicemail, Three-way calling, etc.</w:t>
      </w:r>
    </w:p>
    <w:p w:rsidR="00000000" w:rsidDel="00000000" w:rsidP="00000000" w:rsidRDefault="00000000" w:rsidRPr="00000000" w14:paraId="00000019">
      <w:pPr>
        <w:pStyle w:val="Heading1"/>
        <w:numPr>
          <w:ilvl w:val="0"/>
          <w:numId w:val="3"/>
        </w:numPr>
        <w:spacing w:after="0" w:before="0" w:lineRule="auto"/>
        <w:ind w:left="1440" w:right="320" w:hanging="360"/>
        <w:rPr>
          <w:sz w:val="24"/>
          <w:szCs w:val="24"/>
        </w:rPr>
      </w:pPr>
      <w:bookmarkStart w:colFirst="0" w:colLast="0" w:name="_i9xxlbwcxf9" w:id="2"/>
      <w:bookmarkEnd w:id="2"/>
      <w:r w:rsidDel="00000000" w:rsidR="00000000" w:rsidRPr="00000000">
        <w:rPr>
          <w:sz w:val="24"/>
          <w:szCs w:val="24"/>
          <w:rtl w:val="0"/>
        </w:rPr>
        <w:t xml:space="preserve">Data Service plans and Features – that provide connectivity and communications for data-capable mobile devices.</w:t>
      </w:r>
    </w:p>
    <w:p w:rsidR="00000000" w:rsidDel="00000000" w:rsidP="00000000" w:rsidRDefault="00000000" w:rsidRPr="00000000" w14:paraId="0000001A">
      <w:pPr>
        <w:pStyle w:val="Heading1"/>
        <w:numPr>
          <w:ilvl w:val="0"/>
          <w:numId w:val="3"/>
        </w:numPr>
        <w:spacing w:after="0" w:before="0" w:lineRule="auto"/>
        <w:ind w:left="1440" w:right="320" w:hanging="360"/>
        <w:rPr>
          <w:sz w:val="24"/>
          <w:szCs w:val="24"/>
        </w:rPr>
      </w:pPr>
      <w:bookmarkStart w:colFirst="0" w:colLast="0" w:name="_ueaxuk962nel" w:id="3"/>
      <w:bookmarkEnd w:id="3"/>
      <w:r w:rsidDel="00000000" w:rsidR="00000000" w:rsidRPr="00000000">
        <w:rPr>
          <w:sz w:val="24"/>
          <w:szCs w:val="24"/>
          <w:rtl w:val="0"/>
        </w:rPr>
        <w:t xml:space="preserve">Service Enabling Devices (SEDs) – mobile devices bundled with voice and data service plans which are included at no cost to the ordering entity.</w:t>
      </w:r>
    </w:p>
    <w:p w:rsidR="00000000" w:rsidDel="00000000" w:rsidP="00000000" w:rsidRDefault="00000000" w:rsidRPr="00000000" w14:paraId="0000001B">
      <w:pPr>
        <w:pStyle w:val="Heading1"/>
        <w:numPr>
          <w:ilvl w:val="0"/>
          <w:numId w:val="3"/>
        </w:numPr>
        <w:spacing w:after="0" w:before="0" w:lineRule="auto"/>
        <w:ind w:left="1440" w:right="320" w:hanging="360"/>
        <w:rPr>
          <w:sz w:val="24"/>
          <w:szCs w:val="24"/>
        </w:rPr>
      </w:pPr>
      <w:bookmarkStart w:colFirst="0" w:colLast="0" w:name="_wnqdphni4kol" w:id="4"/>
      <w:bookmarkEnd w:id="4"/>
      <w:r w:rsidDel="00000000" w:rsidR="00000000" w:rsidRPr="00000000">
        <w:rPr>
          <w:sz w:val="24"/>
          <w:szCs w:val="24"/>
          <w:rtl w:val="0"/>
        </w:rPr>
        <w:t xml:space="preserve">Wireless infrastructure components (which do not include a service plan or features but may include labor) offered under a monthly lease arrangement or recurring charge to ordering entities.</w:t>
      </w:r>
    </w:p>
    <w:p w:rsidR="00000000" w:rsidDel="00000000" w:rsidP="00000000" w:rsidRDefault="00000000" w:rsidRPr="00000000" w14:paraId="0000001C">
      <w:pPr>
        <w:rPr>
          <w:sz w:val="24"/>
          <w:szCs w:val="24"/>
        </w:rPr>
      </w:pPr>
      <w:r w:rsidDel="00000000" w:rsidR="00000000" w:rsidRPr="00000000">
        <w:rPr>
          <w:rtl w:val="0"/>
        </w:rPr>
      </w:r>
    </w:p>
    <w:p w:rsidR="00000000" w:rsidDel="00000000" w:rsidP="00000000" w:rsidRDefault="00000000" w:rsidRPr="00000000" w14:paraId="0000001D">
      <w:pPr>
        <w:rPr>
          <w:sz w:val="24"/>
          <w:szCs w:val="24"/>
          <w:u w:val="single"/>
        </w:rPr>
      </w:pPr>
      <w:r w:rsidDel="00000000" w:rsidR="00000000" w:rsidRPr="00000000">
        <w:rPr>
          <w:sz w:val="24"/>
          <w:szCs w:val="24"/>
          <w:u w:val="single"/>
          <w:rtl w:val="0"/>
        </w:rPr>
        <w:t xml:space="preserve">Contractor Narrative:</w:t>
      </w:r>
    </w:p>
    <w:p w:rsidR="00000000" w:rsidDel="00000000" w:rsidP="00000000" w:rsidRDefault="00000000" w:rsidRPr="00000000" w14:paraId="0000001E">
      <w:pPr>
        <w:rPr>
          <w:sz w:val="24"/>
          <w:szCs w:val="24"/>
        </w:rPr>
      </w:pPr>
      <w:r w:rsidDel="00000000" w:rsidR="00000000" w:rsidRPr="00000000">
        <w:rPr>
          <w:color w:val="cc0000"/>
          <w:sz w:val="24"/>
          <w:szCs w:val="24"/>
          <w:rtl w:val="0"/>
        </w:rPr>
        <w:t xml:space="preserve">[Contractor’s Proposed Offering Description and Scope Alignment with the subgroup]</w:t>
      </w:r>
      <w:r w:rsidDel="00000000" w:rsidR="00000000" w:rsidRPr="00000000">
        <w:rPr>
          <w:sz w:val="24"/>
          <w:szCs w:val="24"/>
          <w:rtl w:val="0"/>
        </w:rPr>
        <w:br w:type="textWrapping"/>
      </w:r>
    </w:p>
    <w:p w:rsidR="00000000" w:rsidDel="00000000" w:rsidP="00000000" w:rsidRDefault="00000000" w:rsidRPr="00000000" w14:paraId="0000001F">
      <w:pPr>
        <w:pStyle w:val="Heading1"/>
        <w:keepNext w:val="0"/>
        <w:keepLines w:val="0"/>
        <w:spacing w:after="0" w:before="0" w:lineRule="auto"/>
        <w:rPr>
          <w:b w:val="1"/>
          <w:bCs w:val="1"/>
          <w:sz w:val="24"/>
          <w:szCs w:val="24"/>
        </w:rPr>
      </w:pPr>
      <w:bookmarkStart w:colFirst="0" w:colLast="0" w:name="_otw9aacn68um" w:id="5"/>
      <w:bookmarkEnd w:id="5"/>
      <w:r w:rsidDel="00000000" w:rsidR="00000000" w:rsidRPr="00000000">
        <w:rPr>
          <w:sz w:val="24"/>
          <w:szCs w:val="24"/>
          <w:rtl w:val="0"/>
        </w:rPr>
        <w:t xml:space="preserve">☐ </w:t>
      </w:r>
      <w:r w:rsidDel="00000000" w:rsidR="00000000" w:rsidRPr="00000000">
        <w:rPr>
          <w:b w:val="1"/>
          <w:bCs w:val="1"/>
          <w:sz w:val="24"/>
          <w:szCs w:val="24"/>
          <w:rtl w:val="0"/>
        </w:rPr>
        <w:t xml:space="preserve">Subgroup 2 - Other Mobility End-Point Infrastructure - Mobility infrastructure</w:t>
      </w:r>
    </w:p>
    <w:p w:rsidR="00000000" w:rsidDel="00000000" w:rsidP="00000000" w:rsidRDefault="00000000" w:rsidRPr="00000000" w14:paraId="00000020">
      <w:pPr>
        <w:rPr>
          <w:sz w:val="24"/>
          <w:szCs w:val="24"/>
        </w:rPr>
      </w:pPr>
      <w:r w:rsidDel="00000000" w:rsidR="00000000" w:rsidRPr="00000000">
        <w:rPr>
          <w:sz w:val="24"/>
          <w:szCs w:val="24"/>
          <w:rtl w:val="0"/>
        </w:rPr>
        <w:t xml:space="preserve">Includes mobile infrastructure equipment for implementing mobile solutions or enhancing wireless communications. Also includes user interfaces and miscellaneous hardware included with a mobile solution(s) or service.</w:t>
        <w:br w:type="textWrapping"/>
      </w:r>
    </w:p>
    <w:p w:rsidR="00000000" w:rsidDel="00000000" w:rsidP="00000000" w:rsidRDefault="00000000" w:rsidRPr="00000000" w14:paraId="00000021">
      <w:pPr>
        <w:rPr>
          <w:sz w:val="24"/>
          <w:szCs w:val="24"/>
          <w:u w:val="single"/>
        </w:rPr>
      </w:pPr>
      <w:r w:rsidDel="00000000" w:rsidR="00000000" w:rsidRPr="00000000">
        <w:rPr>
          <w:sz w:val="24"/>
          <w:szCs w:val="24"/>
          <w:u w:val="single"/>
          <w:rtl w:val="0"/>
        </w:rPr>
        <w:t xml:space="preserve">Contractor Narrative:</w:t>
      </w:r>
    </w:p>
    <w:p w:rsidR="00000000" w:rsidDel="00000000" w:rsidP="00000000" w:rsidRDefault="00000000" w:rsidRPr="00000000" w14:paraId="00000022">
      <w:pPr>
        <w:rPr>
          <w:sz w:val="24"/>
          <w:szCs w:val="24"/>
        </w:rPr>
      </w:pPr>
      <w:r w:rsidDel="00000000" w:rsidR="00000000" w:rsidRPr="00000000">
        <w:rPr>
          <w:color w:val="cc0000"/>
          <w:sz w:val="24"/>
          <w:szCs w:val="24"/>
          <w:rtl w:val="0"/>
        </w:rPr>
        <w:t xml:space="preserve">[Contractor’s Proposed Offering Description and Scope Alignment with the subgroup]</w:t>
      </w:r>
      <w:r w:rsidDel="00000000" w:rsidR="00000000" w:rsidRPr="00000000">
        <w:rPr>
          <w:rtl w:val="0"/>
        </w:rPr>
      </w:r>
    </w:p>
    <w:p w:rsidR="00000000" w:rsidDel="00000000" w:rsidP="00000000" w:rsidRDefault="00000000" w:rsidRPr="00000000" w14:paraId="00000023">
      <w:pPr>
        <w:ind w:left="100" w:firstLine="0"/>
        <w:rPr>
          <w:sz w:val="24"/>
          <w:szCs w:val="24"/>
        </w:rPr>
      </w:pPr>
      <w:r w:rsidDel="00000000" w:rsidR="00000000" w:rsidRPr="00000000">
        <w:rPr>
          <w:rtl w:val="0"/>
        </w:rPr>
      </w:r>
    </w:p>
    <w:p w:rsidR="00000000" w:rsidDel="00000000" w:rsidP="00000000" w:rsidRDefault="00000000" w:rsidRPr="00000000" w14:paraId="00000024">
      <w:pPr>
        <w:pStyle w:val="Heading1"/>
        <w:keepNext w:val="0"/>
        <w:keepLines w:val="0"/>
        <w:spacing w:after="0" w:before="0" w:lineRule="auto"/>
        <w:rPr>
          <w:sz w:val="24"/>
          <w:szCs w:val="24"/>
        </w:rPr>
      </w:pPr>
      <w:bookmarkStart w:colFirst="0" w:colLast="0" w:name="_nz5ypr8t8eqw" w:id="6"/>
      <w:bookmarkEnd w:id="6"/>
      <w:r w:rsidDel="00000000" w:rsidR="00000000" w:rsidRPr="00000000">
        <w:rPr>
          <w:sz w:val="24"/>
          <w:szCs w:val="24"/>
          <w:rtl w:val="0"/>
        </w:rPr>
        <w:t xml:space="preserve">☐ </w:t>
      </w:r>
      <w:r w:rsidDel="00000000" w:rsidR="00000000" w:rsidRPr="00000000">
        <w:rPr>
          <w:b w:val="1"/>
          <w:bCs w:val="1"/>
          <w:sz w:val="24"/>
          <w:szCs w:val="24"/>
          <w:rtl w:val="0"/>
        </w:rPr>
        <w:t xml:space="preserve">Subgroup 3 - Mobility-as-a-Service (MaaS)</w:t>
      </w:r>
      <w:r w:rsidDel="00000000" w:rsidR="00000000" w:rsidRPr="00000000">
        <w:rPr>
          <w:rtl w:val="0"/>
        </w:rPr>
      </w:r>
    </w:p>
    <w:p w:rsidR="00000000" w:rsidDel="00000000" w:rsidP="00000000" w:rsidRDefault="00000000" w:rsidRPr="00000000" w14:paraId="00000025">
      <w:pPr>
        <w:ind w:right="320"/>
        <w:rPr>
          <w:sz w:val="24"/>
          <w:szCs w:val="24"/>
        </w:rPr>
      </w:pPr>
      <w:r w:rsidDel="00000000" w:rsidR="00000000" w:rsidRPr="00000000">
        <w:rPr>
          <w:sz w:val="24"/>
          <w:szCs w:val="24"/>
          <w:rtl w:val="0"/>
        </w:rPr>
        <w:t xml:space="preserve">A subscription-based, mobile management service suite enabling mobile endpoints, including SEDs to be managed, and utilized as a service. In this context a mobile endpoint is a user interface that requires wireless connectivity to communicate with an enterprise or carrier network. The service provider retains asset ownership of the endpoint(s) and provides service regarding asset issuance, endpoint performance management, service plan management, that mobility management software, and support services into a full solution that minimizes prior device-centric costs and operations. MaaS includes end-to-end management with respect to:</w:t>
      </w:r>
    </w:p>
    <w:p w:rsidR="00000000" w:rsidDel="00000000" w:rsidP="00000000" w:rsidRDefault="00000000" w:rsidRPr="00000000" w14:paraId="00000026">
      <w:pPr>
        <w:numPr>
          <w:ilvl w:val="0"/>
          <w:numId w:val="1"/>
        </w:numPr>
        <w:ind w:left="720" w:right="320" w:hanging="360"/>
        <w:rPr>
          <w:sz w:val="24"/>
          <w:szCs w:val="24"/>
        </w:rPr>
      </w:pPr>
      <w:r w:rsidDel="00000000" w:rsidR="00000000" w:rsidRPr="00000000">
        <w:rPr>
          <w:sz w:val="24"/>
          <w:szCs w:val="24"/>
          <w:rtl w:val="0"/>
        </w:rPr>
        <w:t xml:space="preserve">Planning and Management of Agency MaaS Needs and Solutions</w:t>
      </w:r>
    </w:p>
    <w:p w:rsidR="00000000" w:rsidDel="00000000" w:rsidP="00000000" w:rsidRDefault="00000000" w:rsidRPr="00000000" w14:paraId="00000027">
      <w:pPr>
        <w:numPr>
          <w:ilvl w:val="0"/>
          <w:numId w:val="1"/>
        </w:numPr>
        <w:ind w:left="720" w:right="320" w:hanging="360"/>
        <w:rPr>
          <w:sz w:val="24"/>
          <w:szCs w:val="24"/>
        </w:rPr>
      </w:pPr>
      <w:r w:rsidDel="00000000" w:rsidR="00000000" w:rsidRPr="00000000">
        <w:rPr>
          <w:sz w:val="24"/>
          <w:szCs w:val="24"/>
          <w:rtl w:val="0"/>
        </w:rPr>
        <w:t xml:space="preserve">Provisioning, Kitting, and Delivery</w:t>
      </w:r>
    </w:p>
    <w:p w:rsidR="00000000" w:rsidDel="00000000" w:rsidP="00000000" w:rsidRDefault="00000000" w:rsidRPr="00000000" w14:paraId="00000028">
      <w:pPr>
        <w:numPr>
          <w:ilvl w:val="0"/>
          <w:numId w:val="1"/>
        </w:numPr>
        <w:ind w:left="720" w:right="320" w:hanging="360"/>
        <w:rPr>
          <w:sz w:val="24"/>
          <w:szCs w:val="24"/>
        </w:rPr>
      </w:pPr>
      <w:r w:rsidDel="00000000" w:rsidR="00000000" w:rsidRPr="00000000">
        <w:rPr>
          <w:sz w:val="24"/>
          <w:szCs w:val="24"/>
          <w:rtl w:val="0"/>
        </w:rPr>
        <w:t xml:space="preserve">Enterprise Mobility Management and SED Refresh</w:t>
      </w:r>
    </w:p>
    <w:p w:rsidR="00000000" w:rsidDel="00000000" w:rsidP="00000000" w:rsidRDefault="00000000" w:rsidRPr="00000000" w14:paraId="00000029">
      <w:pPr>
        <w:numPr>
          <w:ilvl w:val="0"/>
          <w:numId w:val="1"/>
        </w:numPr>
        <w:ind w:left="720" w:right="320" w:hanging="360"/>
        <w:rPr>
          <w:sz w:val="24"/>
          <w:szCs w:val="24"/>
        </w:rPr>
      </w:pPr>
      <w:r w:rsidDel="00000000" w:rsidR="00000000" w:rsidRPr="00000000">
        <w:rPr>
          <w:sz w:val="24"/>
          <w:szCs w:val="24"/>
          <w:rtl w:val="0"/>
        </w:rPr>
        <w:t xml:space="preserve">Ongoing Helpdesk Support</w:t>
      </w:r>
    </w:p>
    <w:p w:rsidR="00000000" w:rsidDel="00000000" w:rsidP="00000000" w:rsidRDefault="00000000" w:rsidRPr="00000000" w14:paraId="0000002A">
      <w:pPr>
        <w:numPr>
          <w:ilvl w:val="0"/>
          <w:numId w:val="1"/>
        </w:numPr>
        <w:ind w:left="720" w:right="320" w:hanging="360"/>
        <w:rPr>
          <w:sz w:val="24"/>
          <w:szCs w:val="24"/>
        </w:rPr>
      </w:pPr>
      <w:r w:rsidDel="00000000" w:rsidR="00000000" w:rsidRPr="00000000">
        <w:rPr>
          <w:sz w:val="24"/>
          <w:szCs w:val="24"/>
          <w:rtl w:val="0"/>
        </w:rPr>
        <w:t xml:space="preserve">Logistics for end-of-life disposal /recycling</w:t>
        <w:br w:type="textWrapping"/>
      </w:r>
    </w:p>
    <w:p w:rsidR="00000000" w:rsidDel="00000000" w:rsidP="00000000" w:rsidRDefault="00000000" w:rsidRPr="00000000" w14:paraId="0000002B">
      <w:pPr>
        <w:rPr>
          <w:sz w:val="24"/>
          <w:szCs w:val="24"/>
          <w:u w:val="single"/>
        </w:rPr>
      </w:pPr>
      <w:r w:rsidDel="00000000" w:rsidR="00000000" w:rsidRPr="00000000">
        <w:rPr>
          <w:rtl w:val="0"/>
        </w:rPr>
      </w:r>
    </w:p>
    <w:p w:rsidR="00000000" w:rsidDel="00000000" w:rsidP="00000000" w:rsidRDefault="00000000" w:rsidRPr="00000000" w14:paraId="0000002C">
      <w:pPr>
        <w:rPr>
          <w:sz w:val="24"/>
          <w:szCs w:val="24"/>
          <w:u w:val="single"/>
        </w:rPr>
      </w:pPr>
      <w:r w:rsidDel="00000000" w:rsidR="00000000" w:rsidRPr="00000000">
        <w:rPr>
          <w:rtl w:val="0"/>
        </w:rPr>
      </w:r>
    </w:p>
    <w:p w:rsidR="00000000" w:rsidDel="00000000" w:rsidP="00000000" w:rsidRDefault="00000000" w:rsidRPr="00000000" w14:paraId="0000002D">
      <w:pPr>
        <w:rPr>
          <w:sz w:val="24"/>
          <w:szCs w:val="24"/>
          <w:u w:val="single"/>
        </w:rPr>
      </w:pPr>
      <w:r w:rsidDel="00000000" w:rsidR="00000000" w:rsidRPr="00000000">
        <w:rPr>
          <w:sz w:val="24"/>
          <w:szCs w:val="24"/>
          <w:u w:val="single"/>
          <w:rtl w:val="0"/>
        </w:rPr>
        <w:t xml:space="preserve">Contractor Narrative:</w:t>
      </w:r>
    </w:p>
    <w:p w:rsidR="00000000" w:rsidDel="00000000" w:rsidP="00000000" w:rsidRDefault="00000000" w:rsidRPr="00000000" w14:paraId="0000002E">
      <w:pPr>
        <w:rPr>
          <w:sz w:val="24"/>
          <w:szCs w:val="24"/>
        </w:rPr>
      </w:pPr>
      <w:r w:rsidDel="00000000" w:rsidR="00000000" w:rsidRPr="00000000">
        <w:rPr>
          <w:color w:val="cc0000"/>
          <w:sz w:val="24"/>
          <w:szCs w:val="24"/>
          <w:rtl w:val="0"/>
        </w:rPr>
        <w:t xml:space="preserve">[Contractor’s Proposed Offering Description and Scope Alignment with the subgroup ]</w:t>
      </w:r>
      <w:r w:rsidDel="00000000" w:rsidR="00000000" w:rsidRPr="00000000">
        <w:rPr>
          <w:sz w:val="24"/>
          <w:szCs w:val="24"/>
          <w:rtl w:val="0"/>
        </w:rPr>
        <w:br w:type="textWrapping"/>
      </w:r>
    </w:p>
    <w:p w:rsidR="00000000" w:rsidDel="00000000" w:rsidP="00000000" w:rsidRDefault="00000000" w:rsidRPr="00000000" w14:paraId="0000002F">
      <w:pPr>
        <w:pStyle w:val="Heading1"/>
        <w:keepNext w:val="0"/>
        <w:keepLines w:val="0"/>
        <w:spacing w:after="0" w:before="0" w:lineRule="auto"/>
        <w:rPr>
          <w:sz w:val="24"/>
          <w:szCs w:val="24"/>
        </w:rPr>
      </w:pPr>
      <w:bookmarkStart w:colFirst="0" w:colLast="0" w:name="_25iau7y5tl11" w:id="7"/>
      <w:bookmarkEnd w:id="7"/>
      <w:r w:rsidDel="00000000" w:rsidR="00000000" w:rsidRPr="00000000">
        <w:rPr>
          <w:sz w:val="24"/>
          <w:szCs w:val="24"/>
          <w:rtl w:val="0"/>
        </w:rPr>
        <w:t xml:space="preserve">☐ </w:t>
      </w:r>
      <w:r w:rsidDel="00000000" w:rsidR="00000000" w:rsidRPr="00000000">
        <w:rPr>
          <w:b w:val="1"/>
          <w:bCs w:val="1"/>
          <w:sz w:val="24"/>
          <w:szCs w:val="24"/>
          <w:rtl w:val="0"/>
        </w:rPr>
        <w:t xml:space="preserve">Subgroup 4 - Enterprise Mobility Management (EMM)</w:t>
      </w:r>
      <w:r w:rsidDel="00000000" w:rsidR="00000000" w:rsidRPr="00000000">
        <w:rPr>
          <w:rtl w:val="0"/>
        </w:rPr>
      </w:r>
    </w:p>
    <w:p w:rsidR="00000000" w:rsidDel="00000000" w:rsidP="00000000" w:rsidRDefault="00000000" w:rsidRPr="00000000" w14:paraId="00000030">
      <w:pPr>
        <w:ind w:right="420"/>
        <w:rPr>
          <w:sz w:val="24"/>
          <w:szCs w:val="24"/>
        </w:rPr>
      </w:pPr>
      <w:r w:rsidDel="00000000" w:rsidR="00000000" w:rsidRPr="00000000">
        <w:rPr>
          <w:sz w:val="24"/>
          <w:szCs w:val="24"/>
          <w:rtl w:val="0"/>
        </w:rPr>
        <w:t xml:space="preserve">Is a collective set of tools, software, and service capabilities required for the provision, management, security, and control of mobile device functionality, its applications, features and content that are delivered to government (or contractor) owned or employee owned (BYOD) mobile devices. The three main EMM areas include mobile device management (MDM), mobile application management (MAM), and mobility content management (MCM).</w:t>
      </w:r>
    </w:p>
    <w:p w:rsidR="00000000" w:rsidDel="00000000" w:rsidP="00000000" w:rsidRDefault="00000000" w:rsidRPr="00000000" w14:paraId="00000031">
      <w:pPr>
        <w:rPr>
          <w:sz w:val="24"/>
          <w:szCs w:val="24"/>
        </w:rPr>
      </w:pPr>
      <w:r w:rsidDel="00000000" w:rsidR="00000000" w:rsidRPr="00000000">
        <w:rPr>
          <w:sz w:val="24"/>
          <w:szCs w:val="24"/>
          <w:rtl w:val="0"/>
        </w:rPr>
        <w:t xml:space="preserve"> </w:t>
      </w:r>
    </w:p>
    <w:p w:rsidR="00000000" w:rsidDel="00000000" w:rsidP="00000000" w:rsidRDefault="00000000" w:rsidRPr="00000000" w14:paraId="00000032">
      <w:pPr>
        <w:rPr>
          <w:sz w:val="24"/>
          <w:szCs w:val="24"/>
          <w:u w:val="single"/>
        </w:rPr>
      </w:pPr>
      <w:r w:rsidDel="00000000" w:rsidR="00000000" w:rsidRPr="00000000">
        <w:rPr>
          <w:sz w:val="24"/>
          <w:szCs w:val="24"/>
          <w:u w:val="single"/>
          <w:rtl w:val="0"/>
        </w:rPr>
        <w:t xml:space="preserve">Contractor Narrative:</w:t>
      </w:r>
    </w:p>
    <w:p w:rsidR="00000000" w:rsidDel="00000000" w:rsidP="00000000" w:rsidRDefault="00000000" w:rsidRPr="00000000" w14:paraId="00000033">
      <w:pPr>
        <w:rPr>
          <w:color w:val="cc0000"/>
          <w:sz w:val="24"/>
          <w:szCs w:val="24"/>
        </w:rPr>
      </w:pPr>
      <w:r w:rsidDel="00000000" w:rsidR="00000000" w:rsidRPr="00000000">
        <w:rPr>
          <w:color w:val="cc0000"/>
          <w:sz w:val="24"/>
          <w:szCs w:val="24"/>
          <w:rtl w:val="0"/>
        </w:rPr>
        <w:t xml:space="preserve">[Contractor’s Proposed Offering Description and Scope Alignment with the subgroup]</w:t>
      </w:r>
    </w:p>
    <w:p w:rsidR="00000000" w:rsidDel="00000000" w:rsidP="00000000" w:rsidRDefault="00000000" w:rsidRPr="00000000" w14:paraId="00000034">
      <w:pPr>
        <w:rPr>
          <w:color w:val="cc0000"/>
          <w:sz w:val="24"/>
          <w:szCs w:val="24"/>
        </w:rPr>
      </w:pPr>
      <w:r w:rsidDel="00000000" w:rsidR="00000000" w:rsidRPr="00000000">
        <w:rPr>
          <w:rtl w:val="0"/>
        </w:rPr>
      </w:r>
    </w:p>
    <w:p w:rsidR="00000000" w:rsidDel="00000000" w:rsidP="00000000" w:rsidRDefault="00000000" w:rsidRPr="00000000" w14:paraId="00000035">
      <w:pPr>
        <w:pStyle w:val="Heading1"/>
        <w:keepNext w:val="0"/>
        <w:keepLines w:val="0"/>
        <w:spacing w:after="0" w:before="0" w:lineRule="auto"/>
        <w:rPr>
          <w:sz w:val="24"/>
          <w:szCs w:val="24"/>
        </w:rPr>
      </w:pPr>
      <w:bookmarkStart w:colFirst="0" w:colLast="0" w:name="_zdsvy55xtkzl" w:id="8"/>
      <w:bookmarkEnd w:id="8"/>
      <w:r w:rsidDel="00000000" w:rsidR="00000000" w:rsidRPr="00000000">
        <w:rPr>
          <w:sz w:val="24"/>
          <w:szCs w:val="24"/>
          <w:rtl w:val="0"/>
        </w:rPr>
        <w:t xml:space="preserve">☐ </w:t>
      </w:r>
      <w:r w:rsidDel="00000000" w:rsidR="00000000" w:rsidRPr="00000000">
        <w:rPr>
          <w:b w:val="1"/>
          <w:bCs w:val="1"/>
          <w:sz w:val="24"/>
          <w:szCs w:val="24"/>
          <w:rtl w:val="0"/>
        </w:rPr>
        <w:t xml:space="preserve">Subgroup 5 - Mobile Backend-as-a-Service (MBaaS)</w:t>
      </w:r>
      <w:r w:rsidDel="00000000" w:rsidR="00000000" w:rsidRPr="00000000">
        <w:rPr>
          <w:sz w:val="24"/>
          <w:szCs w:val="24"/>
          <w:rtl w:val="0"/>
        </w:rPr>
        <w:t xml:space="preserve"> </w:t>
      </w:r>
    </w:p>
    <w:p w:rsidR="00000000" w:rsidDel="00000000" w:rsidP="00000000" w:rsidRDefault="00000000" w:rsidRPr="00000000" w14:paraId="00000036">
      <w:pPr>
        <w:ind w:right="500"/>
        <w:rPr>
          <w:sz w:val="24"/>
          <w:szCs w:val="24"/>
        </w:rPr>
      </w:pPr>
      <w:r w:rsidDel="00000000" w:rsidR="00000000" w:rsidRPr="00000000">
        <w:rPr>
          <w:sz w:val="24"/>
          <w:szCs w:val="24"/>
          <w:rtl w:val="0"/>
        </w:rPr>
        <w:t xml:space="preserve">Represents mobile application delivery solutions that provide mobile application developers with a platform, tools, and libraries to develop, integrate, test and publish their applications to backend cloud storage and processing resources while also providing common features such as user management, push notifications, social networking integration, and other features demanded by mobile users.</w:t>
      </w:r>
    </w:p>
    <w:p w:rsidR="00000000" w:rsidDel="00000000" w:rsidP="00000000" w:rsidRDefault="00000000" w:rsidRPr="00000000" w14:paraId="00000037">
      <w:pPr>
        <w:rPr>
          <w:sz w:val="24"/>
          <w:szCs w:val="24"/>
        </w:rPr>
      </w:pPr>
      <w:r w:rsidDel="00000000" w:rsidR="00000000" w:rsidRPr="00000000">
        <w:rPr>
          <w:sz w:val="24"/>
          <w:szCs w:val="24"/>
          <w:rtl w:val="0"/>
        </w:rPr>
        <w:t xml:space="preserve"> </w:t>
      </w:r>
    </w:p>
    <w:p w:rsidR="00000000" w:rsidDel="00000000" w:rsidP="00000000" w:rsidRDefault="00000000" w:rsidRPr="00000000" w14:paraId="00000038">
      <w:pPr>
        <w:rPr>
          <w:sz w:val="24"/>
          <w:szCs w:val="24"/>
          <w:u w:val="single"/>
        </w:rPr>
      </w:pPr>
      <w:r w:rsidDel="00000000" w:rsidR="00000000" w:rsidRPr="00000000">
        <w:rPr>
          <w:sz w:val="24"/>
          <w:szCs w:val="24"/>
          <w:u w:val="single"/>
          <w:rtl w:val="0"/>
        </w:rPr>
        <w:t xml:space="preserve">Contractor Narrative:</w:t>
      </w:r>
    </w:p>
    <w:p w:rsidR="00000000" w:rsidDel="00000000" w:rsidP="00000000" w:rsidRDefault="00000000" w:rsidRPr="00000000" w14:paraId="00000039">
      <w:pPr>
        <w:rPr>
          <w:sz w:val="24"/>
          <w:szCs w:val="24"/>
        </w:rPr>
      </w:pPr>
      <w:r w:rsidDel="00000000" w:rsidR="00000000" w:rsidRPr="00000000">
        <w:rPr>
          <w:color w:val="cc0000"/>
          <w:sz w:val="24"/>
          <w:szCs w:val="24"/>
          <w:rtl w:val="0"/>
        </w:rPr>
        <w:t xml:space="preserve">[Contractor’s Proposed Offering Description and Scope Alignment with the subgroup]</w:t>
      </w:r>
      <w:r w:rsidDel="00000000" w:rsidR="00000000" w:rsidRPr="00000000">
        <w:rPr>
          <w:rtl w:val="0"/>
        </w:rPr>
      </w:r>
    </w:p>
    <w:p w:rsidR="00000000" w:rsidDel="00000000" w:rsidP="00000000" w:rsidRDefault="00000000" w:rsidRPr="00000000" w14:paraId="0000003A">
      <w:pPr>
        <w:ind w:left="100" w:firstLine="0"/>
        <w:rPr>
          <w:sz w:val="24"/>
          <w:szCs w:val="24"/>
        </w:rPr>
      </w:pPr>
      <w:r w:rsidDel="00000000" w:rsidR="00000000" w:rsidRPr="00000000">
        <w:rPr>
          <w:rtl w:val="0"/>
        </w:rPr>
      </w:r>
    </w:p>
    <w:p w:rsidR="00000000" w:rsidDel="00000000" w:rsidP="00000000" w:rsidRDefault="00000000" w:rsidRPr="00000000" w14:paraId="0000003B">
      <w:pPr>
        <w:pStyle w:val="Heading1"/>
        <w:keepNext w:val="0"/>
        <w:keepLines w:val="0"/>
        <w:spacing w:after="0" w:before="0" w:lineRule="auto"/>
        <w:rPr>
          <w:sz w:val="24"/>
          <w:szCs w:val="24"/>
        </w:rPr>
      </w:pPr>
      <w:bookmarkStart w:colFirst="0" w:colLast="0" w:name="_e3ytvlyrz7jr" w:id="9"/>
      <w:bookmarkEnd w:id="9"/>
      <w:r w:rsidDel="00000000" w:rsidR="00000000" w:rsidRPr="00000000">
        <w:rPr>
          <w:sz w:val="24"/>
          <w:szCs w:val="24"/>
          <w:rtl w:val="0"/>
        </w:rPr>
        <w:t xml:space="preserve">☐ </w:t>
      </w:r>
      <w:r w:rsidDel="00000000" w:rsidR="00000000" w:rsidRPr="00000000">
        <w:rPr>
          <w:b w:val="1"/>
          <w:bCs w:val="1"/>
          <w:sz w:val="24"/>
          <w:szCs w:val="24"/>
          <w:rtl w:val="0"/>
        </w:rPr>
        <w:t xml:space="preserve">Subgroup 6 -</w:t>
      </w:r>
      <w:r w:rsidDel="00000000" w:rsidR="00000000" w:rsidRPr="00000000">
        <w:rPr>
          <w:sz w:val="24"/>
          <w:szCs w:val="24"/>
          <w:rtl w:val="0"/>
        </w:rPr>
        <w:t xml:space="preserve"> </w:t>
      </w:r>
      <w:r w:rsidDel="00000000" w:rsidR="00000000" w:rsidRPr="00000000">
        <w:rPr>
          <w:b w:val="1"/>
          <w:bCs w:val="1"/>
          <w:sz w:val="24"/>
          <w:szCs w:val="24"/>
          <w:rtl w:val="0"/>
        </w:rPr>
        <w:t xml:space="preserve">Telecom Expense Management Services (TEMS)</w:t>
      </w:r>
      <w:r w:rsidDel="00000000" w:rsidR="00000000" w:rsidRPr="00000000">
        <w:rPr>
          <w:rtl w:val="0"/>
        </w:rPr>
      </w:r>
    </w:p>
    <w:p w:rsidR="00000000" w:rsidDel="00000000" w:rsidP="00000000" w:rsidRDefault="00000000" w:rsidRPr="00000000" w14:paraId="0000003C">
      <w:pPr>
        <w:ind w:right="520"/>
        <w:rPr>
          <w:sz w:val="24"/>
          <w:szCs w:val="24"/>
        </w:rPr>
      </w:pPr>
      <w:r w:rsidDel="00000000" w:rsidR="00000000" w:rsidRPr="00000000">
        <w:rPr>
          <w:sz w:val="24"/>
          <w:szCs w:val="24"/>
          <w:rtl w:val="0"/>
        </w:rPr>
        <w:t xml:space="preserve">Enterprise solutions which support the full lifecycle management of mobility and telecommunications assets. TEMs functions include cataloging, ordering, deployment, workflow management, inventory control, invoicing, disposition, and reporting of an enterprise's mobility resources. TEMS providers may offer standalone solutions and other support services, such as data and system integration services, to implement and maintain their solution.</w:t>
      </w:r>
    </w:p>
    <w:p w:rsidR="00000000" w:rsidDel="00000000" w:rsidP="00000000" w:rsidRDefault="00000000" w:rsidRPr="00000000" w14:paraId="0000003D">
      <w:pPr>
        <w:rPr>
          <w:sz w:val="24"/>
          <w:szCs w:val="24"/>
        </w:rPr>
      </w:pPr>
      <w:r w:rsidDel="00000000" w:rsidR="00000000" w:rsidRPr="00000000">
        <w:rPr>
          <w:sz w:val="24"/>
          <w:szCs w:val="24"/>
          <w:rtl w:val="0"/>
        </w:rPr>
        <w:t xml:space="preserve"> </w:t>
      </w:r>
    </w:p>
    <w:p w:rsidR="00000000" w:rsidDel="00000000" w:rsidP="00000000" w:rsidRDefault="00000000" w:rsidRPr="00000000" w14:paraId="0000003E">
      <w:pPr>
        <w:rPr>
          <w:sz w:val="24"/>
          <w:szCs w:val="24"/>
          <w:u w:val="single"/>
        </w:rPr>
      </w:pPr>
      <w:r w:rsidDel="00000000" w:rsidR="00000000" w:rsidRPr="00000000">
        <w:rPr>
          <w:sz w:val="24"/>
          <w:szCs w:val="24"/>
          <w:u w:val="single"/>
          <w:rtl w:val="0"/>
        </w:rPr>
        <w:t xml:space="preserve">Contractor Narrative:</w:t>
      </w:r>
    </w:p>
    <w:p w:rsidR="00000000" w:rsidDel="00000000" w:rsidP="00000000" w:rsidRDefault="00000000" w:rsidRPr="00000000" w14:paraId="0000003F">
      <w:pPr>
        <w:rPr>
          <w:sz w:val="24"/>
          <w:szCs w:val="24"/>
        </w:rPr>
      </w:pPr>
      <w:r w:rsidDel="00000000" w:rsidR="00000000" w:rsidRPr="00000000">
        <w:rPr>
          <w:color w:val="cc0000"/>
          <w:sz w:val="24"/>
          <w:szCs w:val="24"/>
          <w:rtl w:val="0"/>
        </w:rPr>
        <w:t xml:space="preserve">[Contractor’s Proposed Offering Description and Scope Alignment with the subgroup]</w:t>
      </w:r>
      <w:r w:rsidDel="00000000" w:rsidR="00000000" w:rsidRPr="00000000">
        <w:rPr>
          <w:rtl w:val="0"/>
        </w:rPr>
      </w:r>
    </w:p>
    <w:p w:rsidR="00000000" w:rsidDel="00000000" w:rsidP="00000000" w:rsidRDefault="00000000" w:rsidRPr="00000000" w14:paraId="00000040">
      <w:pPr>
        <w:ind w:left="100" w:firstLine="0"/>
        <w:rPr>
          <w:sz w:val="24"/>
          <w:szCs w:val="24"/>
        </w:rPr>
      </w:pPr>
      <w:r w:rsidDel="00000000" w:rsidR="00000000" w:rsidRPr="00000000">
        <w:rPr>
          <w:rtl w:val="0"/>
        </w:rPr>
      </w:r>
    </w:p>
    <w:p w:rsidR="00000000" w:rsidDel="00000000" w:rsidP="00000000" w:rsidRDefault="00000000" w:rsidRPr="00000000" w14:paraId="00000041">
      <w:pPr>
        <w:pStyle w:val="Heading1"/>
        <w:keepNext w:val="0"/>
        <w:keepLines w:val="0"/>
        <w:spacing w:after="0" w:before="0" w:lineRule="auto"/>
        <w:rPr>
          <w:sz w:val="24"/>
          <w:szCs w:val="24"/>
        </w:rPr>
      </w:pPr>
      <w:bookmarkStart w:colFirst="0" w:colLast="0" w:name="_v1oml5fb2ufc" w:id="10"/>
      <w:bookmarkEnd w:id="10"/>
      <w:r w:rsidDel="00000000" w:rsidR="00000000" w:rsidRPr="00000000">
        <w:rPr>
          <w:sz w:val="24"/>
          <w:szCs w:val="24"/>
          <w:rtl w:val="0"/>
        </w:rPr>
        <w:t xml:space="preserve">☐ </w:t>
      </w:r>
      <w:r w:rsidDel="00000000" w:rsidR="00000000" w:rsidRPr="00000000">
        <w:rPr>
          <w:b w:val="1"/>
          <w:bCs w:val="1"/>
          <w:sz w:val="24"/>
          <w:szCs w:val="24"/>
          <w:rtl w:val="0"/>
        </w:rPr>
        <w:t xml:space="preserve">Subgroup 7 - Mobile Application Vetting</w:t>
      </w:r>
      <w:r w:rsidDel="00000000" w:rsidR="00000000" w:rsidRPr="00000000">
        <w:rPr>
          <w:sz w:val="24"/>
          <w:szCs w:val="24"/>
          <w:rtl w:val="0"/>
        </w:rPr>
        <w:t xml:space="preserve"> </w:t>
      </w:r>
    </w:p>
    <w:p w:rsidR="00000000" w:rsidDel="00000000" w:rsidP="00000000" w:rsidRDefault="00000000" w:rsidRPr="00000000" w14:paraId="00000042">
      <w:pPr>
        <w:pStyle w:val="Heading1"/>
        <w:keepNext w:val="0"/>
        <w:keepLines w:val="0"/>
        <w:spacing w:after="0" w:before="0" w:lineRule="auto"/>
        <w:rPr>
          <w:sz w:val="24"/>
          <w:szCs w:val="24"/>
        </w:rPr>
      </w:pPr>
      <w:bookmarkStart w:colFirst="0" w:colLast="0" w:name="_auljoyr2lecx" w:id="11"/>
      <w:bookmarkEnd w:id="11"/>
      <w:r w:rsidDel="00000000" w:rsidR="00000000" w:rsidRPr="00000000">
        <w:rPr>
          <w:sz w:val="24"/>
          <w:szCs w:val="24"/>
          <w:rtl w:val="0"/>
        </w:rPr>
        <w:t xml:space="preserve">Application Vetting or "app" vetting (also referred to as “app threat intelligence” or “threat protection services”) refers to software, processes, and tools required to test, validate, and verify mobile apps against a baseline of security, privacy, and organization-specific requirements and policies. Vendors may provide on premise, cloud-based, or outsourced app vetting solutions that run static and/or dynamic analysis tests and reporting on apps to detect security vulnerabilities and malicious or privacy violating behaviors.</w:t>
      </w:r>
    </w:p>
    <w:p w:rsidR="00000000" w:rsidDel="00000000" w:rsidP="00000000" w:rsidRDefault="00000000" w:rsidRPr="00000000" w14:paraId="00000043">
      <w:pPr>
        <w:rPr>
          <w:sz w:val="24"/>
          <w:szCs w:val="24"/>
        </w:rPr>
      </w:pPr>
      <w:r w:rsidDel="00000000" w:rsidR="00000000" w:rsidRPr="00000000">
        <w:rPr>
          <w:sz w:val="24"/>
          <w:szCs w:val="24"/>
          <w:rtl w:val="0"/>
        </w:rPr>
        <w:t xml:space="preserve"> </w:t>
      </w:r>
    </w:p>
    <w:p w:rsidR="00000000" w:rsidDel="00000000" w:rsidP="00000000" w:rsidRDefault="00000000" w:rsidRPr="00000000" w14:paraId="00000044">
      <w:pPr>
        <w:rPr>
          <w:sz w:val="24"/>
          <w:szCs w:val="24"/>
          <w:u w:val="single"/>
        </w:rPr>
      </w:pPr>
      <w:r w:rsidDel="00000000" w:rsidR="00000000" w:rsidRPr="00000000">
        <w:rPr>
          <w:sz w:val="24"/>
          <w:szCs w:val="24"/>
          <w:u w:val="single"/>
          <w:rtl w:val="0"/>
        </w:rPr>
        <w:t xml:space="preserve">Contractor Narrative:</w:t>
      </w:r>
    </w:p>
    <w:p w:rsidR="00000000" w:rsidDel="00000000" w:rsidP="00000000" w:rsidRDefault="00000000" w:rsidRPr="00000000" w14:paraId="00000045">
      <w:pPr>
        <w:rPr>
          <w:sz w:val="24"/>
          <w:szCs w:val="24"/>
        </w:rPr>
      </w:pPr>
      <w:r w:rsidDel="00000000" w:rsidR="00000000" w:rsidRPr="00000000">
        <w:rPr>
          <w:color w:val="cc0000"/>
          <w:sz w:val="24"/>
          <w:szCs w:val="24"/>
          <w:rtl w:val="0"/>
        </w:rPr>
        <w:t xml:space="preserve">[Contractor’s Proposed Offering Description and Scope Alignment with the subgroup]</w:t>
      </w:r>
      <w:r w:rsidDel="00000000" w:rsidR="00000000" w:rsidRPr="00000000">
        <w:rPr>
          <w:rtl w:val="0"/>
        </w:rPr>
      </w:r>
    </w:p>
    <w:p w:rsidR="00000000" w:rsidDel="00000000" w:rsidP="00000000" w:rsidRDefault="00000000" w:rsidRPr="00000000" w14:paraId="00000046">
      <w:pPr>
        <w:rPr>
          <w:sz w:val="24"/>
          <w:szCs w:val="24"/>
        </w:rPr>
      </w:pPr>
      <w:r w:rsidDel="00000000" w:rsidR="00000000" w:rsidRPr="00000000">
        <w:rPr>
          <w:sz w:val="24"/>
          <w:szCs w:val="24"/>
          <w:rtl w:val="0"/>
        </w:rPr>
        <w:t xml:space="preserve"> </w:t>
      </w:r>
    </w:p>
    <w:p w:rsidR="00000000" w:rsidDel="00000000" w:rsidP="00000000" w:rsidRDefault="00000000" w:rsidRPr="00000000" w14:paraId="00000047">
      <w:pPr>
        <w:pStyle w:val="Heading1"/>
        <w:keepNext w:val="0"/>
        <w:keepLines w:val="0"/>
        <w:spacing w:after="0" w:before="0" w:lineRule="auto"/>
        <w:rPr>
          <w:b w:val="1"/>
          <w:bCs w:val="1"/>
          <w:sz w:val="24"/>
          <w:szCs w:val="24"/>
        </w:rPr>
      </w:pPr>
      <w:bookmarkStart w:colFirst="0" w:colLast="0" w:name="_50zkg52z7hsw" w:id="12"/>
      <w:bookmarkEnd w:id="12"/>
      <w:r w:rsidDel="00000000" w:rsidR="00000000" w:rsidRPr="00000000">
        <w:rPr>
          <w:sz w:val="24"/>
          <w:szCs w:val="24"/>
          <w:rtl w:val="0"/>
        </w:rPr>
        <w:t xml:space="preserve">☐ </w:t>
      </w:r>
      <w:r w:rsidDel="00000000" w:rsidR="00000000" w:rsidRPr="00000000">
        <w:rPr>
          <w:b w:val="1"/>
          <w:bCs w:val="1"/>
          <w:sz w:val="24"/>
          <w:szCs w:val="24"/>
          <w:rtl w:val="0"/>
        </w:rPr>
        <w:t xml:space="preserve">Subgroup 8 - Mobile Threat Protection (MTP)</w:t>
      </w:r>
    </w:p>
    <w:p w:rsidR="00000000" w:rsidDel="00000000" w:rsidP="00000000" w:rsidRDefault="00000000" w:rsidRPr="00000000" w14:paraId="00000048">
      <w:pPr>
        <w:pStyle w:val="Heading1"/>
        <w:keepNext w:val="0"/>
        <w:keepLines w:val="0"/>
        <w:spacing w:after="0" w:before="0" w:lineRule="auto"/>
        <w:rPr>
          <w:sz w:val="24"/>
          <w:szCs w:val="24"/>
        </w:rPr>
      </w:pPr>
      <w:bookmarkStart w:colFirst="0" w:colLast="0" w:name="_79vtjtl2p0rj" w:id="13"/>
      <w:bookmarkEnd w:id="13"/>
      <w:r w:rsidDel="00000000" w:rsidR="00000000" w:rsidRPr="00000000">
        <w:rPr>
          <w:sz w:val="24"/>
          <w:szCs w:val="24"/>
          <w:rtl w:val="0"/>
        </w:rPr>
        <w:t xml:space="preserve">MTP is a component of a layered Mobile Endpoint Protection Strategy that covers the major areas not addressed by EMM/MDM or App Vetting. MTP solutions monitor the mobile device in real-time to identify mobile threats that may compromise the device, mobile applications, or data residing on the device. MTP integrates with an EMM system deployed on devices resulting in remediation or quarantining of the threat. The MTP solution evaluates an application threat and compliance against a set of pre-defined agency policies based upon acceptable risks, it validates operating system (OS) integrity against any compromise, it detects network threats such as MITM (Man-in-the-Middle) attacks and will detect device configuration risks.</w:t>
      </w:r>
    </w:p>
    <w:p w:rsidR="00000000" w:rsidDel="00000000" w:rsidP="00000000" w:rsidRDefault="00000000" w:rsidRPr="00000000" w14:paraId="00000049">
      <w:pPr>
        <w:rPr>
          <w:sz w:val="24"/>
          <w:szCs w:val="24"/>
        </w:rPr>
      </w:pPr>
      <w:r w:rsidDel="00000000" w:rsidR="00000000" w:rsidRPr="00000000">
        <w:rPr>
          <w:sz w:val="24"/>
          <w:szCs w:val="24"/>
          <w:rtl w:val="0"/>
        </w:rPr>
        <w:t xml:space="preserve"> </w:t>
      </w:r>
    </w:p>
    <w:p w:rsidR="00000000" w:rsidDel="00000000" w:rsidP="00000000" w:rsidRDefault="00000000" w:rsidRPr="00000000" w14:paraId="0000004A">
      <w:pPr>
        <w:rPr>
          <w:sz w:val="24"/>
          <w:szCs w:val="24"/>
          <w:u w:val="single"/>
        </w:rPr>
      </w:pPr>
      <w:r w:rsidDel="00000000" w:rsidR="00000000" w:rsidRPr="00000000">
        <w:rPr>
          <w:sz w:val="24"/>
          <w:szCs w:val="24"/>
          <w:u w:val="single"/>
          <w:rtl w:val="0"/>
        </w:rPr>
        <w:t xml:space="preserve">Contractor Narrative:</w:t>
      </w:r>
    </w:p>
    <w:p w:rsidR="00000000" w:rsidDel="00000000" w:rsidP="00000000" w:rsidRDefault="00000000" w:rsidRPr="00000000" w14:paraId="0000004B">
      <w:pPr>
        <w:rPr>
          <w:sz w:val="24"/>
          <w:szCs w:val="24"/>
        </w:rPr>
      </w:pPr>
      <w:r w:rsidDel="00000000" w:rsidR="00000000" w:rsidRPr="00000000">
        <w:rPr>
          <w:color w:val="cc0000"/>
          <w:sz w:val="24"/>
          <w:szCs w:val="24"/>
          <w:rtl w:val="0"/>
        </w:rPr>
        <w:t xml:space="preserve">[Contractor’s Proposed Offering Description and Scope Alignment with the subgroup]</w:t>
      </w:r>
      <w:r w:rsidDel="00000000" w:rsidR="00000000" w:rsidRPr="00000000">
        <w:rPr>
          <w:rtl w:val="0"/>
        </w:rPr>
      </w:r>
    </w:p>
    <w:p w:rsidR="00000000" w:rsidDel="00000000" w:rsidP="00000000" w:rsidRDefault="00000000" w:rsidRPr="00000000" w14:paraId="0000004C">
      <w:pPr>
        <w:ind w:left="100" w:firstLine="0"/>
        <w:rPr>
          <w:sz w:val="24"/>
          <w:szCs w:val="24"/>
        </w:rPr>
      </w:pPr>
      <w:r w:rsidDel="00000000" w:rsidR="00000000" w:rsidRPr="00000000">
        <w:rPr>
          <w:rtl w:val="0"/>
        </w:rPr>
      </w:r>
    </w:p>
    <w:p w:rsidR="00000000" w:rsidDel="00000000" w:rsidP="00000000" w:rsidRDefault="00000000" w:rsidRPr="00000000" w14:paraId="0000004D">
      <w:pPr>
        <w:pStyle w:val="Heading1"/>
        <w:keepNext w:val="0"/>
        <w:keepLines w:val="0"/>
        <w:spacing w:after="0" w:before="0" w:lineRule="auto"/>
        <w:ind w:left="0" w:firstLine="0"/>
        <w:rPr>
          <w:sz w:val="24"/>
          <w:szCs w:val="24"/>
        </w:rPr>
      </w:pPr>
      <w:bookmarkStart w:colFirst="0" w:colLast="0" w:name="_h93yyfx2vidw" w:id="14"/>
      <w:bookmarkEnd w:id="14"/>
      <w:r w:rsidDel="00000000" w:rsidR="00000000" w:rsidRPr="00000000">
        <w:rPr>
          <w:sz w:val="24"/>
          <w:szCs w:val="24"/>
          <w:rtl w:val="0"/>
        </w:rPr>
        <w:t xml:space="preserve">☐ </w:t>
      </w:r>
      <w:r w:rsidDel="00000000" w:rsidR="00000000" w:rsidRPr="00000000">
        <w:rPr>
          <w:b w:val="1"/>
          <w:bCs w:val="1"/>
          <w:sz w:val="24"/>
          <w:szCs w:val="24"/>
          <w:rtl w:val="0"/>
        </w:rPr>
        <w:t xml:space="preserve">Subgroup 9 - Mobile Identity Management (MIM)</w:t>
      </w:r>
      <w:r w:rsidDel="00000000" w:rsidR="00000000" w:rsidRPr="00000000">
        <w:rPr>
          <w:rtl w:val="0"/>
        </w:rPr>
      </w:r>
    </w:p>
    <w:p w:rsidR="00000000" w:rsidDel="00000000" w:rsidP="00000000" w:rsidRDefault="00000000" w:rsidRPr="00000000" w14:paraId="0000004E">
      <w:pPr>
        <w:ind w:right="360"/>
        <w:rPr>
          <w:sz w:val="24"/>
          <w:szCs w:val="24"/>
        </w:rPr>
      </w:pPr>
      <w:r w:rsidDel="00000000" w:rsidR="00000000" w:rsidRPr="00000000">
        <w:rPr>
          <w:sz w:val="24"/>
          <w:szCs w:val="24"/>
          <w:rtl w:val="0"/>
        </w:rPr>
        <w:t xml:space="preserve">MIM is the secure integration of the attributes that unerringly identify a person in the physical and online environments, within the mobile device. MIM is a set of complementary products and solutions that issue and maintain certificates, which may include Derived PIV Credential (DPC) usage. A valid PIV card is required to issue a DPC. Once issued, credentials on a mobile device will support:</w:t>
      </w:r>
    </w:p>
    <w:p w:rsidR="00000000" w:rsidDel="00000000" w:rsidP="00000000" w:rsidRDefault="00000000" w:rsidRPr="00000000" w14:paraId="0000004F">
      <w:pPr>
        <w:numPr>
          <w:ilvl w:val="0"/>
          <w:numId w:val="2"/>
        </w:numPr>
        <w:ind w:left="720" w:right="360" w:hanging="360"/>
        <w:rPr>
          <w:sz w:val="24"/>
          <w:szCs w:val="24"/>
        </w:rPr>
      </w:pPr>
      <w:r w:rsidDel="00000000" w:rsidR="00000000" w:rsidRPr="00000000">
        <w:rPr>
          <w:sz w:val="24"/>
          <w:szCs w:val="24"/>
          <w:rtl w:val="0"/>
        </w:rPr>
        <w:t xml:space="preserve">WIFI authentication</w:t>
      </w:r>
    </w:p>
    <w:p w:rsidR="00000000" w:rsidDel="00000000" w:rsidP="00000000" w:rsidRDefault="00000000" w:rsidRPr="00000000" w14:paraId="00000050">
      <w:pPr>
        <w:numPr>
          <w:ilvl w:val="0"/>
          <w:numId w:val="2"/>
        </w:numPr>
        <w:ind w:left="720" w:right="360" w:hanging="360"/>
        <w:rPr>
          <w:sz w:val="24"/>
          <w:szCs w:val="24"/>
        </w:rPr>
      </w:pPr>
      <w:r w:rsidDel="00000000" w:rsidR="00000000" w:rsidRPr="00000000">
        <w:rPr>
          <w:sz w:val="24"/>
          <w:szCs w:val="24"/>
          <w:rtl w:val="0"/>
        </w:rPr>
        <w:t xml:space="preserve">Virtual Private Networking</w:t>
      </w:r>
    </w:p>
    <w:p w:rsidR="00000000" w:rsidDel="00000000" w:rsidP="00000000" w:rsidRDefault="00000000" w:rsidRPr="00000000" w14:paraId="00000051">
      <w:pPr>
        <w:numPr>
          <w:ilvl w:val="0"/>
          <w:numId w:val="2"/>
        </w:numPr>
        <w:ind w:left="720" w:right="360" w:hanging="360"/>
        <w:rPr>
          <w:sz w:val="24"/>
          <w:szCs w:val="24"/>
        </w:rPr>
      </w:pPr>
      <w:r w:rsidDel="00000000" w:rsidR="00000000" w:rsidRPr="00000000">
        <w:rPr>
          <w:sz w:val="24"/>
          <w:szCs w:val="24"/>
          <w:rtl w:val="0"/>
        </w:rPr>
        <w:t xml:space="preserve">User authentication to Commercial off the Shelf (COTS), Software-as-a-Service (SaaS), and other applications and services</w:t>
      </w:r>
    </w:p>
    <w:p w:rsidR="00000000" w:rsidDel="00000000" w:rsidP="00000000" w:rsidRDefault="00000000" w:rsidRPr="00000000" w14:paraId="00000052">
      <w:pPr>
        <w:numPr>
          <w:ilvl w:val="0"/>
          <w:numId w:val="2"/>
        </w:numPr>
        <w:ind w:left="720" w:right="360" w:hanging="360"/>
        <w:rPr>
          <w:sz w:val="24"/>
          <w:szCs w:val="24"/>
        </w:rPr>
      </w:pPr>
      <w:r w:rsidDel="00000000" w:rsidR="00000000" w:rsidRPr="00000000">
        <w:rPr>
          <w:sz w:val="24"/>
          <w:szCs w:val="24"/>
          <w:rtl w:val="0"/>
        </w:rPr>
        <w:t xml:space="preserve">Data in Transit</w:t>
      </w:r>
    </w:p>
    <w:p w:rsidR="00000000" w:rsidDel="00000000" w:rsidP="00000000" w:rsidRDefault="00000000" w:rsidRPr="00000000" w14:paraId="00000053">
      <w:pPr>
        <w:numPr>
          <w:ilvl w:val="0"/>
          <w:numId w:val="2"/>
        </w:numPr>
        <w:ind w:left="720" w:right="360" w:hanging="360"/>
        <w:rPr>
          <w:sz w:val="24"/>
          <w:szCs w:val="24"/>
        </w:rPr>
      </w:pPr>
      <w:r w:rsidDel="00000000" w:rsidR="00000000" w:rsidRPr="00000000">
        <w:rPr>
          <w:sz w:val="24"/>
          <w:szCs w:val="24"/>
          <w:rtl w:val="0"/>
        </w:rPr>
        <w:t xml:space="preserve">Data Encryption</w:t>
      </w:r>
    </w:p>
    <w:p w:rsidR="00000000" w:rsidDel="00000000" w:rsidP="00000000" w:rsidRDefault="00000000" w:rsidRPr="00000000" w14:paraId="00000054">
      <w:pPr>
        <w:numPr>
          <w:ilvl w:val="0"/>
          <w:numId w:val="2"/>
        </w:numPr>
        <w:ind w:left="720" w:right="360" w:hanging="360"/>
        <w:rPr>
          <w:sz w:val="24"/>
          <w:szCs w:val="24"/>
        </w:rPr>
      </w:pPr>
      <w:r w:rsidDel="00000000" w:rsidR="00000000" w:rsidRPr="00000000">
        <w:rPr>
          <w:sz w:val="24"/>
          <w:szCs w:val="24"/>
          <w:rtl w:val="0"/>
        </w:rPr>
        <w:t xml:space="preserve">Signing of individual documents and records</w:t>
      </w:r>
    </w:p>
    <w:p w:rsidR="00000000" w:rsidDel="00000000" w:rsidP="00000000" w:rsidRDefault="00000000" w:rsidRPr="00000000" w14:paraId="00000055">
      <w:pPr>
        <w:ind w:right="3680"/>
        <w:rPr>
          <w:sz w:val="24"/>
          <w:szCs w:val="24"/>
        </w:rPr>
      </w:pPr>
      <w:r w:rsidDel="00000000" w:rsidR="00000000" w:rsidRPr="00000000">
        <w:rPr>
          <w:rtl w:val="0"/>
        </w:rPr>
      </w:r>
    </w:p>
    <w:p w:rsidR="00000000" w:rsidDel="00000000" w:rsidP="00000000" w:rsidRDefault="00000000" w:rsidRPr="00000000" w14:paraId="00000056">
      <w:pPr>
        <w:rPr>
          <w:sz w:val="24"/>
          <w:szCs w:val="24"/>
          <w:u w:val="single"/>
        </w:rPr>
      </w:pPr>
      <w:r w:rsidDel="00000000" w:rsidR="00000000" w:rsidRPr="00000000">
        <w:rPr>
          <w:sz w:val="24"/>
          <w:szCs w:val="24"/>
          <w:u w:val="single"/>
          <w:rtl w:val="0"/>
        </w:rPr>
        <w:t xml:space="preserve">Contractor Narrative:</w:t>
      </w:r>
    </w:p>
    <w:p w:rsidR="00000000" w:rsidDel="00000000" w:rsidP="00000000" w:rsidRDefault="00000000" w:rsidRPr="00000000" w14:paraId="00000057">
      <w:pPr>
        <w:rPr>
          <w:sz w:val="24"/>
          <w:szCs w:val="24"/>
        </w:rPr>
      </w:pPr>
      <w:r w:rsidDel="00000000" w:rsidR="00000000" w:rsidRPr="00000000">
        <w:rPr>
          <w:color w:val="cc0000"/>
          <w:sz w:val="24"/>
          <w:szCs w:val="24"/>
          <w:rtl w:val="0"/>
        </w:rPr>
        <w:t xml:space="preserve">[Contractor’s Proposed Offering Description and Scope Alignment with the subgroup]</w:t>
      </w:r>
      <w:r w:rsidDel="00000000" w:rsidR="00000000" w:rsidRPr="00000000">
        <w:rPr>
          <w:rtl w:val="0"/>
        </w:rPr>
      </w:r>
    </w:p>
    <w:p w:rsidR="00000000" w:rsidDel="00000000" w:rsidP="00000000" w:rsidRDefault="00000000" w:rsidRPr="00000000" w14:paraId="00000058">
      <w:pPr>
        <w:ind w:left="100" w:firstLine="0"/>
        <w:rPr>
          <w:sz w:val="24"/>
          <w:szCs w:val="24"/>
        </w:rPr>
      </w:pPr>
      <w:r w:rsidDel="00000000" w:rsidR="00000000" w:rsidRPr="00000000">
        <w:rPr>
          <w:rtl w:val="0"/>
        </w:rPr>
      </w:r>
    </w:p>
    <w:p w:rsidR="00000000" w:rsidDel="00000000" w:rsidP="00000000" w:rsidRDefault="00000000" w:rsidRPr="00000000" w14:paraId="00000059">
      <w:pPr>
        <w:pStyle w:val="Heading1"/>
        <w:keepNext w:val="0"/>
        <w:keepLines w:val="0"/>
        <w:spacing w:after="0" w:before="0" w:lineRule="auto"/>
        <w:ind w:left="0" w:firstLine="0"/>
        <w:rPr>
          <w:b w:val="1"/>
          <w:bCs w:val="1"/>
          <w:sz w:val="24"/>
          <w:szCs w:val="24"/>
        </w:rPr>
      </w:pPr>
      <w:bookmarkStart w:colFirst="0" w:colLast="0" w:name="_p95kaq93vssi" w:id="15"/>
      <w:bookmarkEnd w:id="15"/>
      <w:r w:rsidDel="00000000" w:rsidR="00000000" w:rsidRPr="00000000">
        <w:rPr>
          <w:sz w:val="24"/>
          <w:szCs w:val="24"/>
          <w:rtl w:val="0"/>
        </w:rPr>
        <w:t xml:space="preserve">☐ </w:t>
      </w:r>
      <w:r w:rsidDel="00000000" w:rsidR="00000000" w:rsidRPr="00000000">
        <w:rPr>
          <w:b w:val="1"/>
          <w:bCs w:val="1"/>
          <w:sz w:val="24"/>
          <w:szCs w:val="24"/>
          <w:rtl w:val="0"/>
        </w:rPr>
        <w:t xml:space="preserve">Subgroup 10 - Internet of Things (IoT)</w:t>
      </w:r>
    </w:p>
    <w:p w:rsidR="00000000" w:rsidDel="00000000" w:rsidP="00000000" w:rsidRDefault="00000000" w:rsidRPr="00000000" w14:paraId="0000005A">
      <w:pPr>
        <w:rPr>
          <w:sz w:val="24"/>
          <w:szCs w:val="24"/>
        </w:rPr>
      </w:pPr>
      <w:r w:rsidDel="00000000" w:rsidR="00000000" w:rsidRPr="00000000">
        <w:rPr>
          <w:sz w:val="24"/>
          <w:szCs w:val="24"/>
          <w:rtl w:val="0"/>
        </w:rPr>
        <w:t xml:space="preserve">Internet of Things (IoT) service providers engage with those who design, develop, operate, or maintain an infrastructure of networked components comprising computing resources, digital sensors, actuators, and human interfaces that are combined into systems to achieve specific goal(s).</w:t>
      </w:r>
    </w:p>
    <w:p w:rsidR="00000000" w:rsidDel="00000000" w:rsidP="00000000" w:rsidRDefault="00000000" w:rsidRPr="00000000" w14:paraId="0000005B">
      <w:pPr>
        <w:rPr>
          <w:sz w:val="24"/>
          <w:szCs w:val="24"/>
        </w:rPr>
      </w:pPr>
      <w:r w:rsidDel="00000000" w:rsidR="00000000" w:rsidRPr="00000000">
        <w:rPr>
          <w:sz w:val="24"/>
          <w:szCs w:val="24"/>
          <w:rtl w:val="0"/>
        </w:rPr>
        <w:t xml:space="preserve"> </w:t>
      </w:r>
    </w:p>
    <w:p w:rsidR="00000000" w:rsidDel="00000000" w:rsidP="00000000" w:rsidRDefault="00000000" w:rsidRPr="00000000" w14:paraId="0000005C">
      <w:pPr>
        <w:rPr>
          <w:sz w:val="24"/>
          <w:szCs w:val="24"/>
        </w:rPr>
      </w:pPr>
      <w:r w:rsidDel="00000000" w:rsidR="00000000" w:rsidRPr="00000000">
        <w:rPr>
          <w:rtl w:val="0"/>
        </w:rPr>
      </w:r>
    </w:p>
    <w:p w:rsidR="00000000" w:rsidDel="00000000" w:rsidP="00000000" w:rsidRDefault="00000000" w:rsidRPr="00000000" w14:paraId="0000005D">
      <w:pPr>
        <w:rPr>
          <w:sz w:val="24"/>
          <w:szCs w:val="24"/>
          <w:u w:val="single"/>
        </w:rPr>
      </w:pPr>
      <w:r w:rsidDel="00000000" w:rsidR="00000000" w:rsidRPr="00000000">
        <w:rPr>
          <w:sz w:val="24"/>
          <w:szCs w:val="24"/>
          <w:u w:val="single"/>
          <w:rtl w:val="0"/>
        </w:rPr>
        <w:t xml:space="preserve">Contractor Narrative:</w:t>
      </w:r>
    </w:p>
    <w:p w:rsidR="00000000" w:rsidDel="00000000" w:rsidP="00000000" w:rsidRDefault="00000000" w:rsidRPr="00000000" w14:paraId="0000005E">
      <w:pPr>
        <w:rPr>
          <w:sz w:val="24"/>
          <w:szCs w:val="24"/>
        </w:rPr>
      </w:pPr>
      <w:r w:rsidDel="00000000" w:rsidR="00000000" w:rsidRPr="00000000">
        <w:rPr>
          <w:color w:val="cc0000"/>
          <w:sz w:val="24"/>
          <w:szCs w:val="24"/>
          <w:rtl w:val="0"/>
        </w:rPr>
        <w:t xml:space="preserve">[Contractor’s Proposed Offering Description and Scope Alignment with the subgroup]</w:t>
      </w:r>
      <w:r w:rsidDel="00000000" w:rsidR="00000000" w:rsidRPr="00000000">
        <w:rPr>
          <w:rtl w:val="0"/>
        </w:rPr>
      </w:r>
    </w:p>
    <w:p w:rsidR="00000000" w:rsidDel="00000000" w:rsidP="00000000" w:rsidRDefault="00000000" w:rsidRPr="00000000" w14:paraId="0000005F">
      <w:pPr>
        <w:ind w:left="100" w:firstLine="0"/>
        <w:rPr>
          <w:sz w:val="24"/>
          <w:szCs w:val="24"/>
        </w:rPr>
      </w:pPr>
      <w:r w:rsidDel="00000000" w:rsidR="00000000" w:rsidRPr="00000000">
        <w:rPr>
          <w:rtl w:val="0"/>
        </w:rPr>
      </w:r>
    </w:p>
    <w:p w:rsidR="00000000" w:rsidDel="00000000" w:rsidP="00000000" w:rsidRDefault="00000000" w:rsidRPr="00000000" w14:paraId="00000060">
      <w:pPr>
        <w:pStyle w:val="Heading1"/>
        <w:keepNext w:val="0"/>
        <w:keepLines w:val="0"/>
        <w:spacing w:after="0" w:before="0" w:lineRule="auto"/>
        <w:rPr>
          <w:b w:val="1"/>
          <w:bCs w:val="1"/>
          <w:sz w:val="24"/>
          <w:szCs w:val="24"/>
        </w:rPr>
      </w:pPr>
      <w:bookmarkStart w:colFirst="0" w:colLast="0" w:name="_n5zue0ujdfwu" w:id="16"/>
      <w:bookmarkEnd w:id="16"/>
      <w:r w:rsidDel="00000000" w:rsidR="00000000" w:rsidRPr="00000000">
        <w:rPr>
          <w:sz w:val="24"/>
          <w:szCs w:val="24"/>
          <w:rtl w:val="0"/>
        </w:rPr>
        <w:t xml:space="preserve">☐ </w:t>
      </w:r>
      <w:r w:rsidDel="00000000" w:rsidR="00000000" w:rsidRPr="00000000">
        <w:rPr>
          <w:b w:val="1"/>
          <w:bCs w:val="1"/>
          <w:sz w:val="24"/>
          <w:szCs w:val="24"/>
          <w:rtl w:val="0"/>
        </w:rPr>
        <w:t xml:space="preserve">Subgroup 11 - Managed Mobility Services</w:t>
      </w:r>
    </w:p>
    <w:p w:rsidR="00000000" w:rsidDel="00000000" w:rsidP="00000000" w:rsidRDefault="00000000" w:rsidRPr="00000000" w14:paraId="00000061">
      <w:pPr>
        <w:rPr>
          <w:sz w:val="24"/>
          <w:szCs w:val="24"/>
        </w:rPr>
      </w:pPr>
      <w:r w:rsidDel="00000000" w:rsidR="00000000" w:rsidRPr="00000000">
        <w:rPr>
          <w:sz w:val="24"/>
          <w:szCs w:val="24"/>
          <w:rtl w:val="0"/>
        </w:rPr>
        <w:t xml:space="preserve">End-to-end lifecycle management for enterprise mobile devices and wireless endpoints, including:</w:t>
      </w:r>
    </w:p>
    <w:p w:rsidR="00000000" w:rsidDel="00000000" w:rsidP="00000000" w:rsidRDefault="00000000" w:rsidRPr="00000000" w14:paraId="00000062">
      <w:pPr>
        <w:numPr>
          <w:ilvl w:val="0"/>
          <w:numId w:val="4"/>
        </w:numPr>
        <w:ind w:left="720" w:hanging="360"/>
        <w:rPr>
          <w:sz w:val="24"/>
          <w:szCs w:val="24"/>
        </w:rPr>
      </w:pPr>
      <w:r w:rsidDel="00000000" w:rsidR="00000000" w:rsidRPr="00000000">
        <w:rPr>
          <w:sz w:val="24"/>
          <w:szCs w:val="24"/>
          <w:rtl w:val="0"/>
        </w:rPr>
        <w:t xml:space="preserve">Device procurement, provisioning, activation, suspension, transfer, and deactivation.</w:t>
      </w:r>
    </w:p>
    <w:p w:rsidR="00000000" w:rsidDel="00000000" w:rsidP="00000000" w:rsidRDefault="00000000" w:rsidRPr="00000000" w14:paraId="00000063">
      <w:pPr>
        <w:numPr>
          <w:ilvl w:val="0"/>
          <w:numId w:val="4"/>
        </w:numPr>
        <w:ind w:left="720" w:hanging="360"/>
        <w:rPr>
          <w:sz w:val="24"/>
          <w:szCs w:val="24"/>
        </w:rPr>
      </w:pPr>
      <w:r w:rsidDel="00000000" w:rsidR="00000000" w:rsidRPr="00000000">
        <w:rPr>
          <w:sz w:val="24"/>
          <w:szCs w:val="24"/>
          <w:rtl w:val="0"/>
        </w:rPr>
        <w:t xml:space="preserve">Mobile Device Management (MDM), Mobile Application Management (MAM), Mobile Content Management (MCM), Mobile Threat Protection (MTP) and Unified Endpoint Management (UEM).</w:t>
      </w:r>
    </w:p>
    <w:p w:rsidR="00000000" w:rsidDel="00000000" w:rsidP="00000000" w:rsidRDefault="00000000" w:rsidRPr="00000000" w14:paraId="00000064">
      <w:pPr>
        <w:numPr>
          <w:ilvl w:val="0"/>
          <w:numId w:val="4"/>
        </w:numPr>
        <w:ind w:left="720" w:hanging="360"/>
        <w:rPr>
          <w:sz w:val="24"/>
          <w:szCs w:val="24"/>
        </w:rPr>
      </w:pPr>
      <w:r w:rsidDel="00000000" w:rsidR="00000000" w:rsidRPr="00000000">
        <w:rPr>
          <w:sz w:val="24"/>
          <w:szCs w:val="24"/>
          <w:rtl w:val="0"/>
        </w:rPr>
        <w:t xml:space="preserve">Security policy enforcement, operating system and application updates, compliance monitoring, remote diagnostics, troubleshooting, and remote lock/wipe capabilities.</w:t>
      </w:r>
    </w:p>
    <w:p w:rsidR="00000000" w:rsidDel="00000000" w:rsidP="00000000" w:rsidRDefault="00000000" w:rsidRPr="00000000" w14:paraId="00000065">
      <w:pPr>
        <w:numPr>
          <w:ilvl w:val="0"/>
          <w:numId w:val="4"/>
        </w:numPr>
        <w:ind w:left="720" w:hanging="360"/>
        <w:rPr>
          <w:sz w:val="24"/>
          <w:szCs w:val="24"/>
        </w:rPr>
      </w:pPr>
      <w:r w:rsidDel="00000000" w:rsidR="00000000" w:rsidRPr="00000000">
        <w:rPr>
          <w:sz w:val="24"/>
          <w:szCs w:val="24"/>
          <w:rtl w:val="0"/>
        </w:rPr>
        <w:t xml:space="preserve">Asset inventory, device refresh, logistics, and lifecycle replacement.</w:t>
      </w:r>
    </w:p>
    <w:p w:rsidR="00000000" w:rsidDel="00000000" w:rsidP="00000000" w:rsidRDefault="00000000" w:rsidRPr="00000000" w14:paraId="00000066">
      <w:pPr>
        <w:numPr>
          <w:ilvl w:val="0"/>
          <w:numId w:val="4"/>
        </w:numPr>
        <w:ind w:left="720" w:hanging="360"/>
        <w:rPr>
          <w:sz w:val="24"/>
          <w:szCs w:val="24"/>
        </w:rPr>
      </w:pPr>
      <w:r w:rsidDel="00000000" w:rsidR="00000000" w:rsidRPr="00000000">
        <w:rPr>
          <w:sz w:val="24"/>
          <w:szCs w:val="24"/>
          <w:rtl w:val="0"/>
        </w:rPr>
        <w:t xml:space="preserve">Support for Government-Furnished Equipment (GFE), Corporate-Owned Personally Enabled (COPE), Corporate-Owned Business Only (COBO), and Bring Your Own Device (BYOD), where authorized. </w:t>
      </w:r>
    </w:p>
    <w:p w:rsidR="00000000" w:rsidDel="00000000" w:rsidP="00000000" w:rsidRDefault="00000000" w:rsidRPr="00000000" w14:paraId="00000067">
      <w:pPr>
        <w:rPr>
          <w:sz w:val="24"/>
          <w:szCs w:val="24"/>
        </w:rPr>
      </w:pPr>
      <w:r w:rsidDel="00000000" w:rsidR="00000000" w:rsidRPr="00000000">
        <w:rPr>
          <w:sz w:val="24"/>
          <w:szCs w:val="24"/>
          <w:rtl w:val="0"/>
        </w:rPr>
        <w:t xml:space="preserve"> </w:t>
      </w:r>
    </w:p>
    <w:p w:rsidR="00000000" w:rsidDel="00000000" w:rsidP="00000000" w:rsidRDefault="00000000" w:rsidRPr="00000000" w14:paraId="00000068">
      <w:pPr>
        <w:rPr>
          <w:sz w:val="24"/>
          <w:szCs w:val="24"/>
          <w:u w:val="single"/>
        </w:rPr>
      </w:pPr>
      <w:r w:rsidDel="00000000" w:rsidR="00000000" w:rsidRPr="00000000">
        <w:rPr>
          <w:sz w:val="24"/>
          <w:szCs w:val="24"/>
          <w:u w:val="single"/>
          <w:rtl w:val="0"/>
        </w:rPr>
        <w:t xml:space="preserve">Contractor Narrative:</w:t>
      </w:r>
    </w:p>
    <w:p w:rsidR="00000000" w:rsidDel="00000000" w:rsidP="00000000" w:rsidRDefault="00000000" w:rsidRPr="00000000" w14:paraId="00000069">
      <w:pPr>
        <w:rPr>
          <w:sz w:val="24"/>
          <w:szCs w:val="24"/>
        </w:rPr>
      </w:pPr>
      <w:r w:rsidDel="00000000" w:rsidR="00000000" w:rsidRPr="00000000">
        <w:rPr>
          <w:color w:val="cc0000"/>
          <w:sz w:val="24"/>
          <w:szCs w:val="24"/>
          <w:rtl w:val="0"/>
        </w:rPr>
        <w:t xml:space="preserve">[Contractor’s Proposed Offering Description and Scope Alignment with the subgroup]</w:t>
      </w:r>
      <w:r w:rsidDel="00000000" w:rsidR="00000000" w:rsidRPr="00000000">
        <w:rPr>
          <w:rtl w:val="0"/>
        </w:rPr>
      </w:r>
    </w:p>
    <w:p w:rsidR="00000000" w:rsidDel="00000000" w:rsidP="00000000" w:rsidRDefault="00000000" w:rsidRPr="00000000" w14:paraId="0000006A">
      <w:pPr>
        <w:rPr>
          <w:sz w:val="24"/>
          <w:szCs w:val="24"/>
        </w:rPr>
      </w:pPr>
      <w:r w:rsidDel="00000000" w:rsidR="00000000" w:rsidRPr="00000000">
        <w:rPr>
          <w:rtl w:val="0"/>
        </w:rPr>
      </w:r>
    </w:p>
    <w:p w:rsidR="00000000" w:rsidDel="00000000" w:rsidP="00000000" w:rsidRDefault="00000000" w:rsidRPr="00000000" w14:paraId="0000006B">
      <w:pPr>
        <w:pStyle w:val="Heading1"/>
        <w:keepNext w:val="0"/>
        <w:keepLines w:val="0"/>
        <w:spacing w:after="0" w:before="0" w:lineRule="auto"/>
        <w:rPr>
          <w:b w:val="1"/>
          <w:bCs w:val="1"/>
          <w:sz w:val="24"/>
          <w:szCs w:val="24"/>
        </w:rPr>
      </w:pPr>
      <w:bookmarkStart w:colFirst="0" w:colLast="0" w:name="_3hurq510l2ia" w:id="17"/>
      <w:bookmarkEnd w:id="17"/>
      <w:r w:rsidDel="00000000" w:rsidR="00000000" w:rsidRPr="00000000">
        <w:rPr>
          <w:sz w:val="24"/>
          <w:szCs w:val="24"/>
          <w:rtl w:val="0"/>
        </w:rPr>
        <w:t xml:space="preserve">☐ </w:t>
      </w:r>
      <w:r w:rsidDel="00000000" w:rsidR="00000000" w:rsidRPr="00000000">
        <w:rPr>
          <w:b w:val="1"/>
          <w:bCs w:val="1"/>
          <w:sz w:val="24"/>
          <w:szCs w:val="24"/>
          <w:rtl w:val="0"/>
        </w:rPr>
        <w:t xml:space="preserve">Subgroup 12 - Managed Wireless Service</w:t>
      </w:r>
    </w:p>
    <w:p w:rsidR="00000000" w:rsidDel="00000000" w:rsidP="00000000" w:rsidRDefault="00000000" w:rsidRPr="00000000" w14:paraId="0000006C">
      <w:pPr>
        <w:rPr>
          <w:sz w:val="24"/>
          <w:szCs w:val="24"/>
        </w:rPr>
      </w:pPr>
      <w:r w:rsidDel="00000000" w:rsidR="00000000" w:rsidRPr="00000000">
        <w:rPr>
          <w:sz w:val="24"/>
          <w:szCs w:val="24"/>
          <w:rtl w:val="0"/>
        </w:rPr>
        <w:t xml:space="preserve">Provides end-to-end management of commercial wireless connectivity and related services, including cellular, Wi-Fi, Fixed Wireless Access (FWA), private wireless networks, satellite-enabled wireless communications, and emerging commercial wireless technologies. Services may include provisioning, activation, configuration, monitoring, security policy enforcement, performance optimization, troubleshooting, and lifecycle management to support secure, resilient, and scalable wireless communications for agency users, facilities, and connected devices. </w:t>
      </w:r>
    </w:p>
    <w:p w:rsidR="00000000" w:rsidDel="00000000" w:rsidP="00000000" w:rsidRDefault="00000000" w:rsidRPr="00000000" w14:paraId="0000006D">
      <w:pPr>
        <w:rPr>
          <w:sz w:val="24"/>
          <w:szCs w:val="24"/>
        </w:rPr>
      </w:pPr>
      <w:r w:rsidDel="00000000" w:rsidR="00000000" w:rsidRPr="00000000">
        <w:rPr>
          <w:sz w:val="24"/>
          <w:szCs w:val="24"/>
          <w:rtl w:val="0"/>
        </w:rPr>
        <w:t xml:space="preserve"> </w:t>
      </w:r>
    </w:p>
    <w:p w:rsidR="00000000" w:rsidDel="00000000" w:rsidP="00000000" w:rsidRDefault="00000000" w:rsidRPr="00000000" w14:paraId="0000006E">
      <w:pPr>
        <w:rPr>
          <w:sz w:val="24"/>
          <w:szCs w:val="24"/>
          <w:u w:val="single"/>
        </w:rPr>
      </w:pPr>
      <w:r w:rsidDel="00000000" w:rsidR="00000000" w:rsidRPr="00000000">
        <w:rPr>
          <w:sz w:val="24"/>
          <w:szCs w:val="24"/>
          <w:u w:val="single"/>
          <w:rtl w:val="0"/>
        </w:rPr>
        <w:t xml:space="preserve">Contractor Narrative:</w:t>
      </w:r>
    </w:p>
    <w:p w:rsidR="00000000" w:rsidDel="00000000" w:rsidP="00000000" w:rsidRDefault="00000000" w:rsidRPr="00000000" w14:paraId="0000006F">
      <w:pPr>
        <w:rPr>
          <w:color w:val="cc0000"/>
          <w:sz w:val="24"/>
          <w:szCs w:val="24"/>
        </w:rPr>
      </w:pPr>
      <w:r w:rsidDel="00000000" w:rsidR="00000000" w:rsidRPr="00000000">
        <w:rPr>
          <w:color w:val="cc0000"/>
          <w:sz w:val="24"/>
          <w:szCs w:val="24"/>
          <w:rtl w:val="0"/>
        </w:rPr>
        <w:t xml:space="preserve">[Contractor’s Proposed Offering Description and Scope Alignment with the subgroup]</w:t>
      </w:r>
    </w:p>
    <w:p w:rsidR="00000000" w:rsidDel="00000000" w:rsidP="00000000" w:rsidRDefault="00000000" w:rsidRPr="00000000" w14:paraId="00000070">
      <w:pPr>
        <w:rPr>
          <w:color w:val="cc0000"/>
          <w:sz w:val="24"/>
          <w:szCs w:val="24"/>
        </w:rPr>
      </w:pPr>
      <w:r w:rsidDel="00000000" w:rsidR="00000000" w:rsidRPr="00000000">
        <w:rPr>
          <w:rtl w:val="0"/>
        </w:rPr>
      </w:r>
    </w:p>
    <w:p w:rsidR="00000000" w:rsidDel="00000000" w:rsidP="00000000" w:rsidRDefault="00000000" w:rsidRPr="00000000" w14:paraId="00000071">
      <w:pPr>
        <w:rPr>
          <w:b w:val="1"/>
          <w:bCs w:val="1"/>
          <w:sz w:val="24"/>
          <w:szCs w:val="24"/>
        </w:rPr>
      </w:pPr>
      <w:r w:rsidDel="00000000" w:rsidR="00000000" w:rsidRPr="00000000">
        <w:rPr>
          <w:rtl w:val="0"/>
        </w:rPr>
      </w:r>
    </w:p>
    <w:p w:rsidR="00000000" w:rsidDel="00000000" w:rsidP="00000000" w:rsidRDefault="00000000" w:rsidRPr="00000000" w14:paraId="00000072">
      <w:pPr>
        <w:pStyle w:val="Heading1"/>
        <w:keepNext w:val="0"/>
        <w:keepLines w:val="0"/>
        <w:spacing w:after="0" w:before="0" w:lineRule="auto"/>
        <w:rPr>
          <w:b w:val="1"/>
          <w:bCs w:val="1"/>
          <w:sz w:val="24"/>
          <w:szCs w:val="24"/>
        </w:rPr>
      </w:pPr>
      <w:bookmarkStart w:colFirst="0" w:colLast="0" w:name="_5qnoq1e80j4p" w:id="18"/>
      <w:bookmarkEnd w:id="18"/>
      <w:r w:rsidDel="00000000" w:rsidR="00000000" w:rsidRPr="00000000">
        <w:rPr>
          <w:sz w:val="24"/>
          <w:szCs w:val="24"/>
          <w:rtl w:val="0"/>
        </w:rPr>
        <w:t xml:space="preserve">☐ </w:t>
      </w:r>
      <w:r w:rsidDel="00000000" w:rsidR="00000000" w:rsidRPr="00000000">
        <w:rPr>
          <w:b w:val="1"/>
          <w:bCs w:val="1"/>
          <w:sz w:val="24"/>
          <w:szCs w:val="24"/>
          <w:rtl w:val="0"/>
        </w:rPr>
        <w:t xml:space="preserve">Subgroup 13 - Enterprise Access, Connectivity, and Transport Services</w:t>
      </w:r>
    </w:p>
    <w:p w:rsidR="00000000" w:rsidDel="00000000" w:rsidP="00000000" w:rsidRDefault="00000000" w:rsidRPr="00000000" w14:paraId="00000073">
      <w:pPr>
        <w:spacing w:after="240" w:before="240" w:line="276" w:lineRule="auto"/>
        <w:rPr>
          <w:sz w:val="24"/>
          <w:szCs w:val="24"/>
        </w:rPr>
      </w:pPr>
      <w:r w:rsidDel="00000000" w:rsidR="00000000" w:rsidRPr="00000000">
        <w:rPr>
          <w:sz w:val="24"/>
          <w:szCs w:val="24"/>
          <w:rtl w:val="0"/>
        </w:rPr>
        <w:t xml:space="preserve">Provides enterprise-grade WAN, MAN, and LAN connectivity, delivering secure access to the Internet, cloud environments, and private networks through Carrier Ethernet, broadband, fiber, optical transport, and managed wireless, satellite, or Wi-Fi, Li-Fi, and other commercially available wireless technologies used to support primary, supplemental, temporary, or backup connectivity. </w:t>
      </w:r>
    </w:p>
    <w:p w:rsidR="00000000" w:rsidDel="00000000" w:rsidP="00000000" w:rsidRDefault="00000000" w:rsidRPr="00000000" w14:paraId="00000074">
      <w:pPr>
        <w:rPr>
          <w:sz w:val="24"/>
          <w:szCs w:val="24"/>
        </w:rPr>
      </w:pPr>
      <w:r w:rsidDel="00000000" w:rsidR="00000000" w:rsidRPr="00000000">
        <w:rPr>
          <w:sz w:val="24"/>
          <w:szCs w:val="24"/>
          <w:rtl w:val="0"/>
        </w:rPr>
        <w:t xml:space="preserve"> </w:t>
      </w:r>
    </w:p>
    <w:p w:rsidR="00000000" w:rsidDel="00000000" w:rsidP="00000000" w:rsidRDefault="00000000" w:rsidRPr="00000000" w14:paraId="00000075">
      <w:pPr>
        <w:rPr>
          <w:sz w:val="24"/>
          <w:szCs w:val="24"/>
          <w:u w:val="single"/>
        </w:rPr>
      </w:pPr>
      <w:r w:rsidDel="00000000" w:rsidR="00000000" w:rsidRPr="00000000">
        <w:rPr>
          <w:sz w:val="24"/>
          <w:szCs w:val="24"/>
          <w:u w:val="single"/>
          <w:rtl w:val="0"/>
        </w:rPr>
        <w:t xml:space="preserve">Contractor Narrative:</w:t>
      </w:r>
    </w:p>
    <w:p w:rsidR="00000000" w:rsidDel="00000000" w:rsidP="00000000" w:rsidRDefault="00000000" w:rsidRPr="00000000" w14:paraId="00000076">
      <w:pPr>
        <w:rPr>
          <w:color w:val="cc0000"/>
          <w:sz w:val="24"/>
          <w:szCs w:val="24"/>
        </w:rPr>
      </w:pPr>
      <w:r w:rsidDel="00000000" w:rsidR="00000000" w:rsidRPr="00000000">
        <w:rPr>
          <w:color w:val="cc0000"/>
          <w:sz w:val="24"/>
          <w:szCs w:val="24"/>
          <w:rtl w:val="0"/>
        </w:rPr>
        <w:t xml:space="preserve">[Contractor’s Proposed Offering Description and Scope Alignment with the subgroup]</w:t>
      </w:r>
    </w:p>
    <w:p w:rsidR="00000000" w:rsidDel="00000000" w:rsidP="00000000" w:rsidRDefault="00000000" w:rsidRPr="00000000" w14:paraId="00000077">
      <w:pPr>
        <w:rPr>
          <w:color w:val="cc0000"/>
          <w:sz w:val="24"/>
          <w:szCs w:val="24"/>
        </w:rPr>
      </w:pPr>
      <w:r w:rsidDel="00000000" w:rsidR="00000000" w:rsidRPr="00000000">
        <w:rPr>
          <w:rtl w:val="0"/>
        </w:rPr>
      </w:r>
    </w:p>
    <w:p w:rsidR="00000000" w:rsidDel="00000000" w:rsidP="00000000" w:rsidRDefault="00000000" w:rsidRPr="00000000" w14:paraId="00000078">
      <w:pPr>
        <w:pStyle w:val="Heading1"/>
        <w:keepNext w:val="0"/>
        <w:keepLines w:val="0"/>
        <w:spacing w:after="0" w:before="0" w:lineRule="auto"/>
        <w:rPr>
          <w:b w:val="1"/>
          <w:bCs w:val="1"/>
          <w:sz w:val="24"/>
          <w:szCs w:val="24"/>
        </w:rPr>
      </w:pPr>
      <w:bookmarkStart w:colFirst="0" w:colLast="0" w:name="_qn2z5cruoffd" w:id="19"/>
      <w:bookmarkEnd w:id="19"/>
      <w:r w:rsidDel="00000000" w:rsidR="00000000" w:rsidRPr="00000000">
        <w:rPr>
          <w:sz w:val="24"/>
          <w:szCs w:val="24"/>
          <w:rtl w:val="0"/>
        </w:rPr>
        <w:t xml:space="preserve">☐ </w:t>
      </w:r>
      <w:r w:rsidDel="00000000" w:rsidR="00000000" w:rsidRPr="00000000">
        <w:rPr>
          <w:b w:val="1"/>
          <w:bCs w:val="1"/>
          <w:sz w:val="24"/>
          <w:szCs w:val="24"/>
          <w:rtl w:val="0"/>
        </w:rPr>
        <w:t xml:space="preserve">Subgroup 14 - Other/Mobile Services</w:t>
      </w:r>
    </w:p>
    <w:p w:rsidR="00000000" w:rsidDel="00000000" w:rsidP="00000000" w:rsidRDefault="00000000" w:rsidRPr="00000000" w14:paraId="00000079">
      <w:pPr>
        <w:rPr>
          <w:sz w:val="24"/>
          <w:szCs w:val="24"/>
        </w:rPr>
      </w:pPr>
      <w:r w:rsidDel="00000000" w:rsidR="00000000" w:rsidRPr="00000000">
        <w:rPr>
          <w:sz w:val="24"/>
          <w:szCs w:val="24"/>
          <w:rtl w:val="0"/>
        </w:rPr>
        <w:t xml:space="preserve">Wireless communication services not commonly used across agency enterprises due to unique usage, features, niche application or legacy technology requirements. Examples include paging, short term rental/disposable endpoint component, and satellite-only communications providers.</w:t>
      </w:r>
    </w:p>
    <w:p w:rsidR="00000000" w:rsidDel="00000000" w:rsidP="00000000" w:rsidRDefault="00000000" w:rsidRPr="00000000" w14:paraId="0000007A">
      <w:pPr>
        <w:rPr>
          <w:sz w:val="24"/>
          <w:szCs w:val="24"/>
        </w:rPr>
      </w:pPr>
      <w:r w:rsidDel="00000000" w:rsidR="00000000" w:rsidRPr="00000000">
        <w:rPr>
          <w:sz w:val="24"/>
          <w:szCs w:val="24"/>
          <w:rtl w:val="0"/>
        </w:rPr>
        <w:t xml:space="preserve"> </w:t>
      </w:r>
    </w:p>
    <w:p w:rsidR="00000000" w:rsidDel="00000000" w:rsidP="00000000" w:rsidRDefault="00000000" w:rsidRPr="00000000" w14:paraId="0000007B">
      <w:pPr>
        <w:rPr>
          <w:sz w:val="24"/>
          <w:szCs w:val="24"/>
          <w:u w:val="single"/>
        </w:rPr>
      </w:pPr>
      <w:r w:rsidDel="00000000" w:rsidR="00000000" w:rsidRPr="00000000">
        <w:rPr>
          <w:sz w:val="24"/>
          <w:szCs w:val="24"/>
          <w:u w:val="single"/>
          <w:rtl w:val="0"/>
        </w:rPr>
        <w:t xml:space="preserve">Contractor Narrative:</w:t>
      </w:r>
    </w:p>
    <w:p w:rsidR="00000000" w:rsidDel="00000000" w:rsidP="00000000" w:rsidRDefault="00000000" w:rsidRPr="00000000" w14:paraId="0000007C">
      <w:pPr>
        <w:rPr>
          <w:color w:val="cc0000"/>
          <w:sz w:val="24"/>
          <w:szCs w:val="24"/>
        </w:rPr>
      </w:pPr>
      <w:r w:rsidDel="00000000" w:rsidR="00000000" w:rsidRPr="00000000">
        <w:rPr>
          <w:color w:val="cc0000"/>
          <w:sz w:val="24"/>
          <w:szCs w:val="24"/>
          <w:rtl w:val="0"/>
        </w:rPr>
        <w:t xml:space="preserve">[Contractor’s Proposed Offering Description and Scope Alignment with the subgroup]</w:t>
      </w:r>
    </w:p>
    <w:p w:rsidR="00000000" w:rsidDel="00000000" w:rsidP="00000000" w:rsidRDefault="00000000" w:rsidRPr="00000000" w14:paraId="0000007D">
      <w:pPr>
        <w:rPr>
          <w:sz w:val="24"/>
          <w:szCs w:val="24"/>
        </w:rPr>
      </w:pPr>
      <w:r w:rsidDel="00000000" w:rsidR="00000000" w:rsidRPr="00000000">
        <w:rPr>
          <w:rtl w:val="0"/>
        </w:rPr>
      </w:r>
    </w:p>
    <w:p w:rsidR="00000000" w:rsidDel="00000000" w:rsidP="00000000" w:rsidRDefault="00000000" w:rsidRPr="00000000" w14:paraId="0000007E">
      <w:pPr>
        <w:ind w:right="-360"/>
        <w:rPr>
          <w:sz w:val="24"/>
          <w:szCs w:val="24"/>
        </w:rPr>
      </w:pPr>
      <w:r w:rsidDel="00000000" w:rsidR="00000000" w:rsidRPr="00000000">
        <w:rPr>
          <w:b w:val="1"/>
          <w:bCs w:val="1"/>
          <w:sz w:val="24"/>
          <w:szCs w:val="24"/>
          <w:rtl w:val="0"/>
        </w:rPr>
        <w:t xml:space="preserve">IV.   Submitting the Request:</w:t>
      </w:r>
      <w:r w:rsidDel="00000000" w:rsidR="00000000" w:rsidRPr="00000000">
        <w:rPr>
          <w:sz w:val="24"/>
          <w:szCs w:val="24"/>
          <w:rtl w:val="0"/>
        </w:rPr>
        <w:t xml:space="preserve"> Submit requests to add or modify SIN 517312 to your existing MAS contract through the </w:t>
      </w:r>
      <w:hyperlink r:id="rId9">
        <w:r w:rsidDel="00000000" w:rsidR="00000000" w:rsidRPr="00000000">
          <w:rPr>
            <w:color w:val="1155cc"/>
            <w:sz w:val="24"/>
            <w:szCs w:val="24"/>
            <w:u w:val="single"/>
            <w:rtl w:val="0"/>
          </w:rPr>
          <w:t xml:space="preserve">eOffer/eMod website</w:t>
        </w:r>
      </w:hyperlink>
      <w:r w:rsidDel="00000000" w:rsidR="00000000" w:rsidRPr="00000000">
        <w:rPr>
          <w:sz w:val="24"/>
          <w:szCs w:val="24"/>
          <w:rtl w:val="0"/>
        </w:rPr>
        <w:t xml:space="preserve">. </w:t>
      </w:r>
    </w:p>
    <w:sectPr>
      <w:pgSz w:h="15840" w:w="12240" w:orient="portrait"/>
      <w:pgMar w:bottom="1440" w:top="720" w:left="144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offer.gsa.gov/?_gl=1*1exizkw*_ga*MTM0OTQyOTY0NS4xNzcwMjk2Nzc3*_ga_HBYXWFP794*czE3ODc5Mjc3NzgkbzE2MSRnMSR0MTc4NzkyOTA2NCRqNSRsMCRoMA.." TargetMode="External"/><Relationship Id="rId5" Type="http://schemas.openxmlformats.org/officeDocument/2006/relationships/styles" Target="styles.xml"/><Relationship Id="rId6" Type="http://schemas.openxmlformats.org/officeDocument/2006/relationships/hyperlink" Target="https://sam.gov/opp/f296fb003ec94a0f91b902641a81ec92/view" TargetMode="External"/><Relationship Id="rId7" Type="http://schemas.openxmlformats.org/officeDocument/2006/relationships/hyperlink" Target="https://www.gsa.gov/sell-to-government/step-1-learn-about-government-contracting/how-to-access-contract-opportunities/help-with-mas-contracts-to-sell-to-government" TargetMode="External"/><Relationship Id="rId8" Type="http://schemas.openxmlformats.org/officeDocument/2006/relationships/hyperlink" Target="https://eoffer.gsa.gov/?_gl=1*1exizkw*_ga*MTM0OTQyOTY0NS4xNzcwMjk2Nzc3*_ga_HBYXWFP794*czE3ODc5Mjc3NzgkbzE2MSRnMSR0MTc4NzkyOTA2NCRqNSRsMCRo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