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28"/>
          <w:szCs w:val="28"/>
        </w:rPr>
      </w:pPr>
      <w:r w:rsidDel="00000000" w:rsidR="00000000" w:rsidRPr="00000000">
        <w:rPr>
          <w:b w:val="1"/>
          <w:bCs w:val="1"/>
          <w:sz w:val="28"/>
          <w:szCs w:val="28"/>
          <w:rtl w:val="0"/>
        </w:rPr>
        <w:t xml:space="preserve">FY 2025 Federal Real Property Profile Summary Data Set</w:t>
      </w:r>
    </w:p>
    <w:p w:rsidR="00000000" w:rsidDel="00000000" w:rsidP="00000000" w:rsidRDefault="00000000" w:rsidRPr="00000000" w14:paraId="00000002">
      <w:pPr>
        <w:spacing w:after="240" w:before="240" w:lineRule="auto"/>
        <w:jc w:val="center"/>
        <w:rPr>
          <w:b w:val="1"/>
          <w:bCs w:val="1"/>
          <w:sz w:val="26"/>
          <w:szCs w:val="26"/>
        </w:rPr>
      </w:pPr>
      <w:r w:rsidDel="00000000" w:rsidR="00000000" w:rsidRPr="00000000">
        <w:rPr>
          <w:b w:val="1"/>
          <w:bCs w:val="1"/>
          <w:sz w:val="28"/>
          <w:szCs w:val="28"/>
          <w:rtl w:val="0"/>
        </w:rPr>
        <w:t xml:space="preserve">Executive Summary</w:t>
      </w:r>
      <w:r w:rsidDel="00000000" w:rsidR="00000000" w:rsidRPr="00000000">
        <w:rPr>
          <w:rtl w:val="0"/>
        </w:rPr>
      </w:r>
    </w:p>
    <w:p w:rsidR="00000000" w:rsidDel="00000000" w:rsidP="00000000" w:rsidRDefault="00000000" w:rsidRPr="00000000" w14:paraId="00000003">
      <w:pPr>
        <w:spacing w:after="240" w:before="240" w:lineRule="auto"/>
        <w:rPr>
          <w:b w:val="1"/>
          <w:bCs w:val="1"/>
          <w:sz w:val="26"/>
          <w:szCs w:val="26"/>
        </w:rPr>
      </w:pPr>
      <w:r w:rsidDel="00000000" w:rsidR="00000000" w:rsidRPr="00000000">
        <w:rPr>
          <w:b w:val="1"/>
          <w:bCs w:val="1"/>
          <w:sz w:val="26"/>
          <w:szCs w:val="26"/>
          <w:rtl w:val="0"/>
        </w:rPr>
        <w:t xml:space="preserve">Background</w:t>
      </w:r>
    </w:p>
    <w:p w:rsidR="00000000" w:rsidDel="00000000" w:rsidP="00000000" w:rsidRDefault="00000000" w:rsidRPr="00000000" w14:paraId="00000004">
      <w:pPr>
        <w:spacing w:after="240" w:before="240" w:lineRule="auto"/>
        <w:rPr>
          <w:b w:val="1"/>
          <w:bCs w:val="1"/>
          <w:sz w:val="24"/>
          <w:szCs w:val="24"/>
        </w:rPr>
      </w:pPr>
      <w:r w:rsidDel="00000000" w:rsidR="00000000" w:rsidRPr="00000000">
        <w:rPr>
          <w:sz w:val="24"/>
          <w:szCs w:val="24"/>
          <w:rtl w:val="0"/>
        </w:rPr>
        <w:t xml:space="preserve">Executive Order 13327, Federal Real Property Asset Management (February 6, 2004), mandated the creation of a centralized real property database to be maintained by the General Services Administration (GSA). The requirement for this database, known as the Federal Real Property Profile (FRPP) management system, was later enacted into law in the Federal Assets Sale and Transfer Act of 2016 (FASTA) (Pub. L. 114-287) and expanded to include all real property under the custody or control of executive branch agencies, except for property excluded for reasons of national security.</w:t>
      </w:r>
      <w:r w:rsidDel="00000000" w:rsidR="00000000" w:rsidRPr="00000000">
        <w:rPr>
          <w:rtl w:val="0"/>
        </w:rPr>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FASTA requires that FRPP asset information, except for data excluded by agencies for national security reasons or redacted under the Freedom of Information Act, be publicly accessible via the Web, in a </w:t>
      </w:r>
      <w:r w:rsidDel="00000000" w:rsidR="00000000" w:rsidRPr="00000000">
        <w:rPr>
          <w:color w:val="222222"/>
          <w:sz w:val="24"/>
          <w:szCs w:val="24"/>
          <w:highlight w:val="white"/>
          <w:rtl w:val="0"/>
        </w:rPr>
        <w:t xml:space="preserve">searchable, downloadable, and machine-readable format. Once finalized, GSA publishes this FRPP data on its website at</w:t>
      </w:r>
      <w:hyperlink r:id="rId7">
        <w:r w:rsidDel="00000000" w:rsidR="00000000" w:rsidRPr="00000000">
          <w:rPr>
            <w:color w:val="1155cc"/>
            <w:sz w:val="24"/>
            <w:szCs w:val="24"/>
            <w:rtl w:val="0"/>
          </w:rPr>
          <w:t xml:space="preserve"> </w:t>
        </w:r>
      </w:hyperlink>
      <w:hyperlink r:id="rId8">
        <w:r w:rsidDel="00000000" w:rsidR="00000000" w:rsidRPr="00000000">
          <w:rPr>
            <w:color w:val="1155cc"/>
            <w:sz w:val="24"/>
            <w:szCs w:val="24"/>
            <w:u w:val="single"/>
            <w:rtl w:val="0"/>
          </w:rPr>
          <w:t xml:space="preserve">publicFRPPdata.realpropertyprofile.gov</w:t>
        </w:r>
      </w:hyperlink>
      <w:r w:rsidDel="00000000" w:rsidR="00000000" w:rsidRPr="00000000">
        <w:rPr>
          <w:sz w:val="24"/>
          <w:szCs w:val="24"/>
          <w:rtl w:val="0"/>
        </w:rPr>
        <w:t xml:space="preserve">.</w:t>
      </w:r>
    </w:p>
    <w:p w:rsidR="00000000" w:rsidDel="00000000" w:rsidP="00000000" w:rsidRDefault="00000000" w:rsidRPr="00000000" w14:paraId="00000006">
      <w:pPr>
        <w:spacing w:after="240" w:before="240" w:lineRule="auto"/>
        <w:rPr>
          <w:sz w:val="24"/>
          <w:szCs w:val="24"/>
        </w:rPr>
      </w:pPr>
      <w:r w:rsidDel="00000000" w:rsidR="00000000" w:rsidRPr="00000000">
        <w:rPr>
          <w:sz w:val="24"/>
          <w:szCs w:val="24"/>
          <w:rtl w:val="0"/>
        </w:rPr>
        <w:t xml:space="preserve">GSA is now publishing the FRPP Summary Data Set, also known as the Open Data Set, for fiscal year (FY) 2025. This data set provides a high-level summary of the real property inventory of the Federal Government in the U.S. and U.S. territories at the end of FY 2025 and is accessible online at</w:t>
      </w:r>
      <w:hyperlink r:id="rId9">
        <w:r w:rsidDel="00000000" w:rsidR="00000000" w:rsidRPr="00000000">
          <w:rPr>
            <w:sz w:val="24"/>
            <w:szCs w:val="24"/>
            <w:rtl w:val="0"/>
          </w:rPr>
          <w:t xml:space="preserve"> </w:t>
        </w:r>
      </w:hyperlink>
      <w:hyperlink r:id="rId10">
        <w:r w:rsidDel="00000000" w:rsidR="00000000" w:rsidRPr="00000000">
          <w:rPr>
            <w:color w:val="1155cc"/>
            <w:sz w:val="24"/>
            <w:szCs w:val="24"/>
            <w:u w:val="single"/>
            <w:rtl w:val="0"/>
          </w:rPr>
          <w:t xml:space="preserve">https://www.gsa.gov/policy-regulations/policy/real-property-policy-division-overview/data-collection-and-reports/frpp-summary-report-library</w:t>
        </w:r>
      </w:hyperlink>
      <w:r w:rsidDel="00000000" w:rsidR="00000000" w:rsidRPr="00000000">
        <w:rPr>
          <w:sz w:val="24"/>
          <w:szCs w:val="24"/>
          <w:rtl w:val="0"/>
        </w:rPr>
        <w:t xml:space="preserve">. </w:t>
      </w:r>
    </w:p>
    <w:p w:rsidR="00000000" w:rsidDel="00000000" w:rsidP="00000000" w:rsidRDefault="00000000" w:rsidRPr="00000000" w14:paraId="00000007">
      <w:pPr>
        <w:spacing w:after="240" w:before="240" w:lineRule="auto"/>
        <w:rPr>
          <w:sz w:val="24"/>
          <w:szCs w:val="24"/>
        </w:rPr>
      </w:pPr>
      <w:r w:rsidDel="00000000" w:rsidR="00000000" w:rsidRPr="00000000">
        <w:rPr>
          <w:sz w:val="24"/>
          <w:szCs w:val="24"/>
          <w:rtl w:val="0"/>
        </w:rPr>
        <w:t xml:space="preserve">Department of War</w:t>
      </w:r>
      <w:r w:rsidDel="00000000" w:rsidR="00000000" w:rsidRPr="00000000">
        <w:rPr>
          <w:sz w:val="24"/>
          <w:szCs w:val="24"/>
          <w:vertAlign w:val="superscript"/>
        </w:rPr>
        <w:footnoteReference w:customMarkFollows="0" w:id="0"/>
      </w:r>
      <w:r w:rsidDel="00000000" w:rsidR="00000000" w:rsidRPr="00000000">
        <w:rPr>
          <w:sz w:val="24"/>
          <w:szCs w:val="24"/>
          <w:rtl w:val="0"/>
        </w:rPr>
        <w:t xml:space="preserve"> (DoW) data was not included in the FRPP Open Data Set in FY 2017 or FY 2018. DoW made progress in addressing data quality concerns and has been included in FY 2019 through FY 2025. As a result, comparisons between FY 2019 through FY 2025 and previous years’ data are not recommended.</w:t>
      </w:r>
    </w:p>
    <w:p w:rsidR="00000000" w:rsidDel="00000000" w:rsidP="00000000" w:rsidRDefault="00000000" w:rsidRPr="00000000" w14:paraId="00000008">
      <w:pPr>
        <w:spacing w:after="160" w:line="278.00000000000006" w:lineRule="auto"/>
        <w:rPr>
          <w:rFonts w:ascii="Aptos" w:cs="Aptos" w:eastAsia="Aptos" w:hAnsi="Aptos"/>
          <w:b w:val="1"/>
          <w:bCs w:val="1"/>
        </w:rPr>
      </w:pPr>
      <w:r w:rsidDel="00000000" w:rsidR="00000000" w:rsidRPr="00000000">
        <w:rPr>
          <w:b w:val="1"/>
          <w:bCs w:val="1"/>
          <w:sz w:val="26"/>
          <w:szCs w:val="26"/>
          <w:rtl w:val="0"/>
        </w:rPr>
        <w:t xml:space="preserve">Data Quality</w:t>
      </w:r>
      <w:r w:rsidDel="00000000" w:rsidR="00000000" w:rsidRPr="00000000">
        <w:rPr>
          <w:rtl w:val="0"/>
        </w:rPr>
      </w:r>
    </w:p>
    <w:p w:rsidR="00000000" w:rsidDel="00000000" w:rsidP="00000000" w:rsidRDefault="00000000" w:rsidRPr="00000000" w14:paraId="00000009">
      <w:pPr>
        <w:spacing w:after="160" w:line="278.00000000000006" w:lineRule="auto"/>
        <w:rPr>
          <w:sz w:val="24"/>
          <w:szCs w:val="24"/>
        </w:rPr>
      </w:pPr>
      <w:r w:rsidDel="00000000" w:rsidR="00000000" w:rsidRPr="00000000">
        <w:rPr>
          <w:sz w:val="24"/>
          <w:szCs w:val="24"/>
          <w:rtl w:val="0"/>
        </w:rPr>
        <w:t xml:space="preserve">GSA’s commitment to data quality is reflected in the Federal Real Property Council’s (FRPC) requirement for each agency to establish a robust real property data quality improvement program and conduct a third-party review of data quality at least once every three years. Agencies must demonstrate a 90% confidence rate for a core set of data elements (such as location, size, and legal interest), ensure accurate data validation and verification practices, and maintain a data quality program that includes corrective actions, third-party assessments, and documentation of lessons learned.</w:t>
      </w:r>
    </w:p>
    <w:p w:rsidR="00000000" w:rsidDel="00000000" w:rsidP="00000000" w:rsidRDefault="00000000" w:rsidRPr="00000000" w14:paraId="0000000A">
      <w:pPr>
        <w:spacing w:after="160" w:line="278.00000000000006" w:lineRule="auto"/>
        <w:rPr>
          <w:sz w:val="24"/>
          <w:szCs w:val="24"/>
        </w:rPr>
      </w:pPr>
      <w:r w:rsidDel="00000000" w:rsidR="00000000" w:rsidRPr="00000000">
        <w:rPr>
          <w:sz w:val="24"/>
          <w:szCs w:val="24"/>
          <w:rtl w:val="0"/>
        </w:rPr>
        <w:t xml:space="preserve">GSA has supported this effort by providing tools, guidance, and training to assist agencies in strengthening data governance, improving data validation processes, and ensuring that the FRPP remains a trusted source for decision-makers and the public alike.</w:t>
      </w:r>
    </w:p>
    <w:p w:rsidR="00000000" w:rsidDel="00000000" w:rsidP="00000000" w:rsidRDefault="00000000" w:rsidRPr="00000000" w14:paraId="0000000B">
      <w:pPr>
        <w:spacing w:after="160" w:line="278.00000000000006" w:lineRule="auto"/>
        <w:rPr>
          <w:rFonts w:ascii="Aptos" w:cs="Aptos" w:eastAsia="Aptos" w:hAnsi="Aptos"/>
          <w:b w:val="1"/>
          <w:bCs w:val="1"/>
        </w:rPr>
      </w:pPr>
      <w:r w:rsidDel="00000000" w:rsidR="00000000" w:rsidRPr="00000000">
        <w:rPr>
          <w:b w:val="1"/>
          <w:bCs w:val="1"/>
          <w:sz w:val="26"/>
          <w:szCs w:val="26"/>
          <w:rtl w:val="0"/>
        </w:rPr>
        <w:t xml:space="preserve">Why We Publish</w:t>
      </w:r>
      <w:r w:rsidDel="00000000" w:rsidR="00000000" w:rsidRPr="00000000">
        <w:rPr>
          <w:rtl w:val="0"/>
        </w:rPr>
      </w:r>
    </w:p>
    <w:p w:rsidR="00000000" w:rsidDel="00000000" w:rsidP="00000000" w:rsidRDefault="00000000" w:rsidRPr="00000000" w14:paraId="0000000C">
      <w:pPr>
        <w:spacing w:after="160" w:line="278.00000000000006" w:lineRule="auto"/>
        <w:rPr>
          <w:sz w:val="24"/>
          <w:szCs w:val="24"/>
        </w:rPr>
      </w:pPr>
      <w:r w:rsidDel="00000000" w:rsidR="00000000" w:rsidRPr="00000000">
        <w:rPr>
          <w:sz w:val="24"/>
          <w:szCs w:val="24"/>
          <w:rtl w:val="0"/>
        </w:rPr>
        <w:t xml:space="preserve">The FRPP Summary Data Set empowers:</w:t>
      </w:r>
    </w:p>
    <w:p w:rsidR="00000000" w:rsidDel="00000000" w:rsidP="00000000" w:rsidRDefault="00000000" w:rsidRPr="00000000" w14:paraId="0000000D">
      <w:pPr>
        <w:numPr>
          <w:ilvl w:val="0"/>
          <w:numId w:val="3"/>
        </w:numPr>
        <w:spacing w:line="278.00000000000006" w:lineRule="auto"/>
        <w:ind w:left="720" w:hanging="360"/>
        <w:rPr>
          <w:sz w:val="24"/>
          <w:szCs w:val="24"/>
        </w:rPr>
      </w:pPr>
      <w:r w:rsidDel="00000000" w:rsidR="00000000" w:rsidRPr="00000000">
        <w:rPr>
          <w:sz w:val="24"/>
          <w:szCs w:val="24"/>
          <w:rtl w:val="0"/>
        </w:rPr>
        <w:t xml:space="preserve">Transparency—Providing the American public, Congress, and stakeholders with a clear view of federal property holdings</w:t>
      </w:r>
    </w:p>
    <w:p w:rsidR="00000000" w:rsidDel="00000000" w:rsidP="00000000" w:rsidRDefault="00000000" w:rsidRPr="00000000" w14:paraId="0000000E">
      <w:pPr>
        <w:numPr>
          <w:ilvl w:val="0"/>
          <w:numId w:val="3"/>
        </w:numPr>
        <w:spacing w:line="278.00000000000006" w:lineRule="auto"/>
        <w:ind w:left="720" w:hanging="360"/>
        <w:rPr>
          <w:sz w:val="24"/>
          <w:szCs w:val="24"/>
        </w:rPr>
      </w:pPr>
      <w:r w:rsidDel="00000000" w:rsidR="00000000" w:rsidRPr="00000000">
        <w:rPr>
          <w:sz w:val="24"/>
          <w:szCs w:val="24"/>
          <w:rtl w:val="0"/>
        </w:rPr>
        <w:t xml:space="preserve">Accountability—Enabling data-driven policy, budget, and real estate decisions across government</w:t>
      </w:r>
    </w:p>
    <w:p w:rsidR="00000000" w:rsidDel="00000000" w:rsidP="00000000" w:rsidRDefault="00000000" w:rsidRPr="00000000" w14:paraId="0000000F">
      <w:pPr>
        <w:numPr>
          <w:ilvl w:val="0"/>
          <w:numId w:val="3"/>
        </w:numPr>
        <w:spacing w:after="160" w:line="278.00000000000006" w:lineRule="auto"/>
        <w:ind w:left="720" w:hanging="360"/>
        <w:rPr>
          <w:sz w:val="24"/>
          <w:szCs w:val="24"/>
        </w:rPr>
      </w:pPr>
      <w:r w:rsidDel="00000000" w:rsidR="00000000" w:rsidRPr="00000000">
        <w:rPr>
          <w:sz w:val="24"/>
          <w:szCs w:val="24"/>
          <w:rtl w:val="0"/>
        </w:rPr>
        <w:t xml:space="preserve">Efficiency—Identifying opportunities for cost savings, asset optimization, and disposals that deliver taxpayer value</w:t>
      </w:r>
    </w:p>
    <w:p w:rsidR="00000000" w:rsidDel="00000000" w:rsidP="00000000" w:rsidRDefault="00000000" w:rsidRPr="00000000" w14:paraId="00000010">
      <w:pPr>
        <w:spacing w:after="240" w:before="240" w:lineRule="auto"/>
        <w:rPr>
          <w:b w:val="1"/>
          <w:bCs w:val="1"/>
          <w:sz w:val="26"/>
          <w:szCs w:val="26"/>
        </w:rPr>
      </w:pPr>
      <w:r w:rsidDel="00000000" w:rsidR="00000000" w:rsidRPr="00000000">
        <w:rPr>
          <w:b w:val="1"/>
          <w:bCs w:val="1"/>
          <w:sz w:val="26"/>
          <w:szCs w:val="26"/>
          <w:rtl w:val="0"/>
        </w:rPr>
        <w:t xml:space="preserve">Key Statistics</w:t>
      </w:r>
    </w:p>
    <w:p w:rsidR="00000000" w:rsidDel="00000000" w:rsidP="00000000" w:rsidRDefault="00000000" w:rsidRPr="00000000" w14:paraId="00000011">
      <w:pPr>
        <w:spacing w:after="240" w:before="240" w:line="240" w:lineRule="auto"/>
        <w:rPr>
          <w:sz w:val="24"/>
          <w:szCs w:val="24"/>
        </w:rPr>
      </w:pPr>
      <w:r w:rsidDel="00000000" w:rsidR="00000000" w:rsidRPr="00000000">
        <w:rPr>
          <w:sz w:val="24"/>
          <w:szCs w:val="24"/>
          <w:rtl w:val="0"/>
        </w:rPr>
        <w:t xml:space="preserve">In FY 2025, Chief Financial Officers (CFO) Act agencies, including DoW, had the following totals:</w:t>
      </w:r>
    </w:p>
    <w:p w:rsidR="00000000" w:rsidDel="00000000" w:rsidP="00000000" w:rsidRDefault="00000000" w:rsidRPr="00000000" w14:paraId="00000012">
      <w:pPr>
        <w:numPr>
          <w:ilvl w:val="0"/>
          <w:numId w:val="4"/>
        </w:numPr>
        <w:spacing w:before="240" w:lineRule="auto"/>
        <w:ind w:left="720" w:hanging="360"/>
        <w:rPr>
          <w:sz w:val="24"/>
          <w:szCs w:val="24"/>
        </w:rPr>
      </w:pPr>
      <w:r w:rsidDel="00000000" w:rsidR="00000000" w:rsidRPr="00000000">
        <w:rPr>
          <w:sz w:val="24"/>
          <w:szCs w:val="24"/>
          <w:rtl w:val="0"/>
        </w:rPr>
        <w:t xml:space="preserve">279,149 buildings</w:t>
      </w:r>
    </w:p>
    <w:p w:rsidR="00000000" w:rsidDel="00000000" w:rsidP="00000000" w:rsidRDefault="00000000" w:rsidRPr="00000000" w14:paraId="00000013">
      <w:pPr>
        <w:numPr>
          <w:ilvl w:val="0"/>
          <w:numId w:val="4"/>
        </w:numPr>
        <w:ind w:left="720" w:hanging="360"/>
        <w:rPr>
          <w:sz w:val="24"/>
          <w:szCs w:val="24"/>
        </w:rPr>
      </w:pPr>
      <w:r w:rsidDel="00000000" w:rsidR="00000000" w:rsidRPr="00000000">
        <w:rPr>
          <w:sz w:val="24"/>
          <w:szCs w:val="24"/>
          <w:rtl w:val="0"/>
        </w:rPr>
        <w:t xml:space="preserve">2.8 billion square feet of buildings</w:t>
      </w:r>
    </w:p>
    <w:p w:rsidR="00000000" w:rsidDel="00000000" w:rsidP="00000000" w:rsidRDefault="00000000" w:rsidRPr="00000000" w14:paraId="00000014">
      <w:pPr>
        <w:numPr>
          <w:ilvl w:val="0"/>
          <w:numId w:val="4"/>
        </w:numPr>
        <w:ind w:left="720" w:hanging="360"/>
        <w:rPr>
          <w:sz w:val="24"/>
          <w:szCs w:val="24"/>
        </w:rPr>
      </w:pPr>
      <w:r w:rsidDel="00000000" w:rsidR="00000000" w:rsidRPr="00000000">
        <w:rPr>
          <w:sz w:val="24"/>
          <w:szCs w:val="24"/>
          <w:rtl w:val="0"/>
        </w:rPr>
        <w:t xml:space="preserve">607,513 structures</w:t>
      </w:r>
    </w:p>
    <w:p w:rsidR="00000000" w:rsidDel="00000000" w:rsidP="00000000" w:rsidRDefault="00000000" w:rsidRPr="00000000" w14:paraId="00000015">
      <w:pPr>
        <w:numPr>
          <w:ilvl w:val="0"/>
          <w:numId w:val="4"/>
        </w:numPr>
        <w:spacing w:after="240" w:lineRule="auto"/>
        <w:ind w:left="720" w:hanging="360"/>
        <w:rPr>
          <w:sz w:val="24"/>
          <w:szCs w:val="24"/>
        </w:rPr>
      </w:pPr>
      <w:r w:rsidDel="00000000" w:rsidR="00000000" w:rsidRPr="00000000">
        <w:rPr>
          <w:sz w:val="24"/>
          <w:szCs w:val="24"/>
          <w:rtl w:val="0"/>
        </w:rPr>
        <w:t xml:space="preserve">27.4 million acres of land </w:t>
      </w:r>
    </w:p>
    <w:p w:rsidR="00000000" w:rsidDel="00000000" w:rsidP="00000000" w:rsidRDefault="00000000" w:rsidRPr="00000000" w14:paraId="00000016">
      <w:pPr>
        <w:spacing w:after="240" w:before="240" w:lineRule="auto"/>
        <w:rPr>
          <w:b w:val="1"/>
          <w:bCs w:val="1"/>
          <w:sz w:val="26"/>
          <w:szCs w:val="26"/>
        </w:rPr>
      </w:pPr>
      <w:r w:rsidDel="00000000" w:rsidR="00000000" w:rsidRPr="00000000">
        <w:rPr>
          <w:b w:val="1"/>
          <w:bCs w:val="1"/>
          <w:sz w:val="26"/>
          <w:szCs w:val="26"/>
          <w:rtl w:val="0"/>
        </w:rPr>
        <w:t xml:space="preserve">FY 2024 - 2025 Comparison </w:t>
      </w:r>
    </w:p>
    <w:p w:rsidR="00000000" w:rsidDel="00000000" w:rsidP="00000000" w:rsidRDefault="00000000" w:rsidRPr="00000000" w14:paraId="00000017">
      <w:pPr>
        <w:numPr>
          <w:ilvl w:val="0"/>
          <w:numId w:val="2"/>
        </w:numPr>
        <w:spacing w:before="240" w:lineRule="auto"/>
        <w:ind w:left="720" w:hanging="360"/>
        <w:rPr>
          <w:sz w:val="24"/>
          <w:szCs w:val="24"/>
        </w:rPr>
      </w:pPr>
      <w:r w:rsidDel="00000000" w:rsidR="00000000" w:rsidRPr="00000000">
        <w:rPr>
          <w:sz w:val="24"/>
          <w:szCs w:val="24"/>
          <w:rtl w:val="0"/>
        </w:rPr>
        <w:t xml:space="preserve">The total number of buildings decreased by 0.7%</w:t>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The total building square footage decreased by 0.11%</w:t>
      </w:r>
    </w:p>
    <w:p w:rsidR="00000000" w:rsidDel="00000000" w:rsidP="00000000" w:rsidRDefault="00000000" w:rsidRPr="00000000" w14:paraId="00000019">
      <w:pPr>
        <w:numPr>
          <w:ilvl w:val="1"/>
          <w:numId w:val="2"/>
        </w:numPr>
        <w:pBdr>
          <w:top w:space="0" w:sz="0" w:val="nil"/>
          <w:left w:space="0" w:sz="0" w:val="nil"/>
          <w:bottom w:space="0" w:sz="0" w:val="nil"/>
          <w:right w:space="0" w:sz="0" w:val="nil"/>
          <w:between w:space="0" w:sz="0" w:val="nil"/>
        </w:pBdr>
        <w:ind w:left="1440" w:hanging="360"/>
        <w:rPr>
          <w:sz w:val="24"/>
          <w:szCs w:val="24"/>
        </w:rPr>
      </w:pPr>
      <w:r w:rsidDel="00000000" w:rsidR="00000000" w:rsidRPr="00000000">
        <w:rPr>
          <w:sz w:val="24"/>
          <w:szCs w:val="24"/>
          <w:rtl w:val="0"/>
        </w:rPr>
        <w:t xml:space="preserve">Office square footage decreased by 2.7%</w:t>
      </w:r>
    </w:p>
    <w:p w:rsidR="00000000" w:rsidDel="00000000" w:rsidP="00000000" w:rsidRDefault="00000000" w:rsidRPr="00000000" w14:paraId="0000001A">
      <w:pPr>
        <w:numPr>
          <w:ilvl w:val="1"/>
          <w:numId w:val="2"/>
        </w:numPr>
        <w:pBdr>
          <w:top w:space="0" w:sz="0" w:val="nil"/>
          <w:left w:space="0" w:sz="0" w:val="nil"/>
          <w:bottom w:space="0" w:sz="0" w:val="nil"/>
          <w:right w:space="0" w:sz="0" w:val="nil"/>
          <w:between w:space="0" w:sz="0" w:val="nil"/>
        </w:pBdr>
        <w:ind w:left="1440" w:hanging="360"/>
        <w:rPr>
          <w:sz w:val="24"/>
          <w:szCs w:val="24"/>
        </w:rPr>
      </w:pPr>
      <w:r w:rsidDel="00000000" w:rsidR="00000000" w:rsidRPr="00000000">
        <w:rPr>
          <w:sz w:val="24"/>
          <w:szCs w:val="24"/>
          <w:rtl w:val="0"/>
        </w:rPr>
        <w:t xml:space="preserve">Warehouse square footage decreased by 0.58%</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The total number of structures increased by 1.17%</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The total acres of land increased by 0.2%</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pacing w:after="240" w:lineRule="auto"/>
        <w:ind w:left="720" w:hanging="360"/>
        <w:rPr>
          <w:sz w:val="24"/>
          <w:szCs w:val="24"/>
        </w:rPr>
      </w:pPr>
      <w:r w:rsidDel="00000000" w:rsidR="00000000" w:rsidRPr="00000000">
        <w:rPr>
          <w:sz w:val="24"/>
          <w:szCs w:val="24"/>
          <w:rtl w:val="0"/>
        </w:rPr>
        <w:t xml:space="preserve">The total costs for buildings, structures, and land increased by 0.6%</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240" w:lineRule="auto"/>
        <w:rPr>
          <w:sz w:val="24"/>
          <w:szCs w:val="24"/>
        </w:rPr>
      </w:pPr>
      <w:r w:rsidDel="00000000" w:rsidR="00000000" w:rsidRPr="00000000">
        <w:rPr>
          <w:rtl w:val="0"/>
        </w:rPr>
      </w:r>
    </w:p>
    <w:tbl>
      <w:tblPr>
        <w:tblStyle w:val="Table1"/>
        <w:tblW w:w="11520.0" w:type="dxa"/>
        <w:jc w:val="left"/>
        <w:tblInd w:w="-10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2220"/>
        <w:gridCol w:w="1770"/>
        <w:gridCol w:w="1755"/>
        <w:gridCol w:w="1770"/>
        <w:gridCol w:w="1785"/>
        <w:tblGridChange w:id="0">
          <w:tblGrid>
            <w:gridCol w:w="2220"/>
            <w:gridCol w:w="2220"/>
            <w:gridCol w:w="1770"/>
            <w:gridCol w:w="1755"/>
            <w:gridCol w:w="1770"/>
            <w:gridCol w:w="1785"/>
          </w:tblGrid>
        </w:tblGridChange>
      </w:tblGrid>
      <w:tr>
        <w:trPr>
          <w:cantSplit w:val="0"/>
          <w:trHeight w:val="930" w:hRule="atLeast"/>
          <w:tblHeader w:val="1"/>
        </w:trPr>
        <w:tc>
          <w:tcPr>
            <w:tcBorders>
              <w:top w:color="000000" w:space="0" w:sz="8" w:val="single"/>
              <w:left w:color="000000" w:space="0" w:sz="8" w:val="single"/>
              <w:bottom w:color="000000" w:space="0" w:sz="8" w:val="single"/>
              <w:right w:color="000000" w:space="0" w:sz="8" w:val="single"/>
            </w:tcBorders>
            <w:shd w:fill="dbe5f1" w:val="clear"/>
            <w:tcMar>
              <w:top w:w="100.0" w:type="dxa"/>
              <w:left w:w="100.0" w:type="dxa"/>
              <w:bottom w:w="100.0" w:type="dxa"/>
              <w:right w:w="100.0" w:type="dxa"/>
            </w:tcMar>
          </w:tcPr>
          <w:p w:rsidR="00000000" w:rsidDel="00000000" w:rsidP="00000000" w:rsidRDefault="00000000" w:rsidRPr="00000000" w14:paraId="0000001F">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Real Property Type</w:t>
            </w:r>
          </w:p>
        </w:tc>
        <w:tc>
          <w:tcPr>
            <w:tcBorders>
              <w:top w:color="000000" w:space="0" w:sz="8" w:val="single"/>
              <w:left w:color="000000" w:space="0" w:sz="8" w:val="single"/>
              <w:bottom w:color="000000" w:space="0" w:sz="8" w:val="single"/>
              <w:right w:color="000000" w:space="0" w:sz="8" w:val="single"/>
            </w:tcBorders>
            <w:shd w:fill="dbe5f1" w:val="clear"/>
            <w:tcMar>
              <w:top w:w="100.0" w:type="dxa"/>
              <w:left w:w="100.0" w:type="dxa"/>
              <w:bottom w:w="100.0" w:type="dxa"/>
              <w:right w:w="100.0" w:type="dxa"/>
            </w:tcMar>
          </w:tcPr>
          <w:p w:rsidR="00000000" w:rsidDel="00000000" w:rsidP="00000000" w:rsidRDefault="00000000" w:rsidRPr="00000000" w14:paraId="00000020">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 Legal Interest</w:t>
            </w:r>
          </w:p>
        </w:tc>
        <w:tc>
          <w:tcPr>
            <w:tcBorders>
              <w:top w:color="000000" w:space="0" w:sz="8" w:val="single"/>
              <w:left w:color="000000" w:space="0" w:sz="8" w:val="single"/>
              <w:bottom w:color="000000" w:space="0" w:sz="8" w:val="single"/>
              <w:right w:color="000000" w:space="0" w:sz="8" w:val="single"/>
            </w:tcBorders>
            <w:shd w:fill="dbe5f1" w:val="clear"/>
            <w:tcMar>
              <w:top w:w="100.0" w:type="dxa"/>
              <w:left w:w="100.0" w:type="dxa"/>
              <w:bottom w:w="100.0" w:type="dxa"/>
              <w:right w:w="100.0" w:type="dxa"/>
            </w:tcMar>
          </w:tcPr>
          <w:p w:rsidR="00000000" w:rsidDel="00000000" w:rsidP="00000000" w:rsidRDefault="00000000" w:rsidRPr="00000000" w14:paraId="00000021">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 Owned</w:t>
            </w:r>
          </w:p>
        </w:tc>
        <w:tc>
          <w:tcPr>
            <w:tcBorders>
              <w:top w:color="000000" w:space="0" w:sz="8" w:val="single"/>
              <w:left w:color="000000" w:space="0" w:sz="8" w:val="single"/>
              <w:bottom w:color="000000" w:space="0" w:sz="8" w:val="single"/>
              <w:right w:color="000000" w:space="0" w:sz="8" w:val="single"/>
            </w:tcBorders>
            <w:shd w:fill="dbe5f1" w:val="clear"/>
            <w:tcMar>
              <w:top w:w="100.0" w:type="dxa"/>
              <w:left w:w="100.0" w:type="dxa"/>
              <w:bottom w:w="100.0" w:type="dxa"/>
              <w:right w:w="100.0" w:type="dxa"/>
            </w:tcMar>
          </w:tcPr>
          <w:p w:rsidR="00000000" w:rsidDel="00000000" w:rsidP="00000000" w:rsidRDefault="00000000" w:rsidRPr="00000000" w14:paraId="00000022">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Leased</w:t>
            </w:r>
          </w:p>
        </w:tc>
        <w:tc>
          <w:tcPr>
            <w:tcBorders>
              <w:top w:color="000000" w:space="0" w:sz="8" w:val="single"/>
              <w:left w:color="000000" w:space="0" w:sz="8" w:val="single"/>
              <w:bottom w:color="000000" w:space="0" w:sz="8" w:val="single"/>
              <w:right w:color="000000" w:space="0" w:sz="8" w:val="single"/>
            </w:tcBorders>
            <w:shd w:fill="dbe5f1" w:val="clear"/>
            <w:tcMar>
              <w:top w:w="100.0" w:type="dxa"/>
              <w:left w:w="100.0" w:type="dxa"/>
              <w:bottom w:w="100.0" w:type="dxa"/>
              <w:right w:w="100.0" w:type="dxa"/>
            </w:tcMar>
          </w:tcPr>
          <w:p w:rsidR="00000000" w:rsidDel="00000000" w:rsidP="00000000" w:rsidRDefault="00000000" w:rsidRPr="00000000" w14:paraId="00000023">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Otherwise Managed</w:t>
            </w:r>
          </w:p>
        </w:tc>
        <w:tc>
          <w:tcPr>
            <w:tcBorders>
              <w:top w:color="000000" w:space="0" w:sz="8" w:val="single"/>
              <w:left w:color="000000" w:space="0" w:sz="8" w:val="single"/>
              <w:bottom w:color="000000" w:space="0" w:sz="8" w:val="single"/>
              <w:right w:color="000000" w:space="0" w:sz="8" w:val="single"/>
            </w:tcBorders>
            <w:shd w:fill="dbe5f1" w:val="clear"/>
            <w:tcMar>
              <w:top w:w="100.0" w:type="dxa"/>
              <w:left w:w="100.0" w:type="dxa"/>
              <w:bottom w:w="100.0" w:type="dxa"/>
              <w:right w:w="100.0" w:type="dxa"/>
            </w:tcMar>
          </w:tcPr>
          <w:p w:rsidR="00000000" w:rsidDel="00000000" w:rsidP="00000000" w:rsidRDefault="00000000" w:rsidRPr="00000000" w14:paraId="00000024">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Total</w:t>
            </w:r>
          </w:p>
        </w:tc>
      </w:tr>
      <w:tr>
        <w:trPr>
          <w:cantSplit w:val="0"/>
          <w:trHeight w:val="495"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5">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Buildings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6">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Total Number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27">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245,755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28">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18,612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29">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14,782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2A">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279,149</w:t>
            </w:r>
            <w:r w:rsidDel="00000000" w:rsidR="00000000" w:rsidRPr="00000000">
              <w:rPr>
                <w:rtl w:val="0"/>
              </w:rPr>
            </w:r>
          </w:p>
        </w:tc>
      </w:tr>
      <w:tr>
        <w:trPr>
          <w:cantSplit w:val="0"/>
          <w:trHeight w:val="49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Total Square Feet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2D">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2,432,589,215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2E">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278,448,479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2F">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123,327,360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0">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2,834,365,054</w:t>
            </w:r>
            <w:r w:rsidDel="00000000" w:rsidR="00000000" w:rsidRPr="00000000">
              <w:rPr>
                <w:rtl w:val="0"/>
              </w:rPr>
            </w:r>
          </w:p>
        </w:tc>
      </w:tr>
      <w:tr>
        <w:trPr>
          <w:cantSplit w:val="0"/>
          <w:trHeight w:val="855"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spacing w:after="240" w:before="240" w:lineRule="auto"/>
              <w:ind w:left="-300" w:firstLine="0"/>
              <w:jc w:val="center"/>
              <w:rPr>
                <w:b w:val="1"/>
                <w:bCs w:val="1"/>
                <w:sz w:val="34"/>
                <w:szCs w:val="34"/>
                <w:vertAlign w:val="superscript"/>
              </w:rPr>
            </w:pPr>
            <w:r w:rsidDel="00000000" w:rsidR="00000000" w:rsidRPr="00000000">
              <w:rPr>
                <w:b w:val="1"/>
                <w:bCs w:val="1"/>
                <w:sz w:val="20"/>
                <w:szCs w:val="20"/>
                <w:rtl w:val="0"/>
              </w:rPr>
              <w:t xml:space="preserve">Total Annual Costs</w:t>
            </w:r>
            <w:r w:rsidDel="00000000" w:rsidR="00000000" w:rsidRPr="00000000">
              <w:rPr>
                <w:b w:val="1"/>
                <w:bCs w:val="1"/>
                <w:sz w:val="20"/>
                <w:szCs w:val="20"/>
                <w:vertAlign w:val="superscript"/>
              </w:rPr>
              <w:footnoteReference w:customMarkFollows="0" w:id="1"/>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3">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$17,865,402,423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4">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$8,608,844,599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5">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$676,741,448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6">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$27,150,988,470</w:t>
            </w:r>
            <w:r w:rsidDel="00000000" w:rsidR="00000000" w:rsidRPr="00000000">
              <w:rPr>
                <w:rtl w:val="0"/>
              </w:rPr>
            </w:r>
          </w:p>
        </w:tc>
      </w:tr>
      <w:tr>
        <w:trPr>
          <w:cantSplit w:val="0"/>
          <w:trHeight w:val="495"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Structures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8">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Total Number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9">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509,126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A">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3,128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B">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95,259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C">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607,513</w:t>
            </w:r>
            <w:r w:rsidDel="00000000" w:rsidR="00000000" w:rsidRPr="00000000">
              <w:rPr>
                <w:rtl w:val="0"/>
              </w:rPr>
            </w:r>
          </w:p>
        </w:tc>
      </w:tr>
      <w:tr>
        <w:trPr>
          <w:cantSplit w:val="0"/>
          <w:trHeight w:val="69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E">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Total Annual Costs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3F">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$142,569,617,198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0">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$123,535,685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1">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$351,968,400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2">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$143,045,121,283</w:t>
            </w:r>
            <w:r w:rsidDel="00000000" w:rsidR="00000000" w:rsidRPr="00000000">
              <w:rPr>
                <w:rtl w:val="0"/>
              </w:rPr>
            </w:r>
          </w:p>
        </w:tc>
      </w:tr>
      <w:tr>
        <w:trPr>
          <w:cantSplit w:val="0"/>
          <w:trHeight w:val="495"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3">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Land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4">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Total Acres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5">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19,493,949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6">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1,650,729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7">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6,251,971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8">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27,396,648</w:t>
            </w:r>
            <w:r w:rsidDel="00000000" w:rsidR="00000000" w:rsidRPr="00000000">
              <w:rPr>
                <w:rtl w:val="0"/>
              </w:rPr>
            </w:r>
          </w:p>
        </w:tc>
      </w:tr>
      <w:tr>
        <w:trPr>
          <w:cantSplit w:val="0"/>
          <w:trHeight w:val="69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spacing w:after="240" w:before="240" w:lineRule="auto"/>
              <w:ind w:left="-300" w:firstLine="0"/>
              <w:jc w:val="center"/>
              <w:rPr>
                <w:b w:val="1"/>
                <w:bCs w:val="1"/>
                <w:sz w:val="20"/>
                <w:szCs w:val="20"/>
              </w:rPr>
            </w:pPr>
            <w:r w:rsidDel="00000000" w:rsidR="00000000" w:rsidRPr="00000000">
              <w:rPr>
                <w:b w:val="1"/>
                <w:bCs w:val="1"/>
                <w:sz w:val="20"/>
                <w:szCs w:val="20"/>
                <w:rtl w:val="0"/>
              </w:rPr>
              <w:t xml:space="preserve">Total Annual Costs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B">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$174,673,669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C">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$48,652,284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D">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$168,419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04E">
            <w:pPr>
              <w:spacing w:after="240" w:before="240" w:lineRule="auto"/>
              <w:ind w:left="-300" w:firstLine="0"/>
              <w:jc w:val="right"/>
              <w:rPr>
                <w:rFonts w:ascii="Calibri" w:cs="Calibri" w:eastAsia="Calibri" w:hAnsi="Calibri"/>
              </w:rPr>
            </w:pPr>
            <w:r w:rsidDel="00000000" w:rsidR="00000000" w:rsidRPr="00000000">
              <w:rPr>
                <w:rFonts w:ascii="Calibri" w:cs="Calibri" w:eastAsia="Calibri" w:hAnsi="Calibri"/>
                <w:color w:val="000000"/>
                <w:rtl w:val="0"/>
              </w:rPr>
              <w:t xml:space="preserve">$223,494,372</w:t>
            </w:r>
            <w:r w:rsidDel="00000000" w:rsidR="00000000" w:rsidRPr="00000000">
              <w:rPr>
                <w:rtl w:val="0"/>
              </w:rPr>
            </w:r>
          </w:p>
        </w:tc>
      </w:tr>
    </w:tbl>
    <w:p w:rsidR="00000000" w:rsidDel="00000000" w:rsidP="00000000" w:rsidRDefault="00000000" w:rsidRPr="00000000" w14:paraId="0000004F">
      <w:pPr>
        <w:spacing w:after="240" w:before="240" w:lineRule="auto"/>
        <w:rPr>
          <w:b w:val="1"/>
          <w:bCs w:val="1"/>
          <w:sz w:val="26"/>
          <w:szCs w:val="26"/>
        </w:rPr>
      </w:pPr>
      <w:r w:rsidDel="00000000" w:rsidR="00000000" w:rsidRPr="00000000">
        <w:rPr>
          <w:b w:val="1"/>
          <w:bCs w:val="1"/>
          <w:sz w:val="26"/>
          <w:szCs w:val="26"/>
          <w:rtl w:val="0"/>
        </w:rPr>
        <w:t xml:space="preserve">Disposals in FY 2025</w:t>
      </w:r>
    </w:p>
    <w:p w:rsidR="00000000" w:rsidDel="00000000" w:rsidP="00000000" w:rsidRDefault="00000000" w:rsidRPr="00000000" w14:paraId="00000050">
      <w:pPr>
        <w:numPr>
          <w:ilvl w:val="0"/>
          <w:numId w:val="1"/>
        </w:numPr>
        <w:spacing w:before="240" w:lineRule="auto"/>
        <w:ind w:left="720" w:hanging="360"/>
        <w:rPr>
          <w:color w:val="222222"/>
          <w:sz w:val="24"/>
          <w:szCs w:val="24"/>
        </w:rPr>
      </w:pPr>
      <w:r w:rsidDel="00000000" w:rsidR="00000000" w:rsidRPr="00000000">
        <w:rPr>
          <w:color w:val="222222"/>
          <w:sz w:val="24"/>
          <w:szCs w:val="24"/>
          <w:highlight w:val="white"/>
          <w:rtl w:val="0"/>
        </w:rPr>
        <w:t xml:space="preserve">Civilian CFO Act agencies disposed of </w:t>
      </w:r>
      <w:r w:rsidDel="00000000" w:rsidR="00000000" w:rsidRPr="00000000">
        <w:rPr>
          <w:color w:val="222222"/>
          <w:sz w:val="24"/>
          <w:szCs w:val="24"/>
          <w:rtl w:val="0"/>
        </w:rPr>
        <w:t xml:space="preserve">1,676 </w:t>
      </w:r>
      <w:r w:rsidDel="00000000" w:rsidR="00000000" w:rsidRPr="00000000">
        <w:rPr>
          <w:color w:val="222222"/>
          <w:sz w:val="24"/>
          <w:szCs w:val="24"/>
          <w:highlight w:val="white"/>
          <w:rtl w:val="0"/>
        </w:rPr>
        <w:t xml:space="preserve">owned and otherwise managed buildings; DoW disposed of 422 owned and otherwise managed buildings, resulting in:</w:t>
      </w:r>
      <w:r w:rsidDel="00000000" w:rsidR="00000000" w:rsidRPr="00000000">
        <w:rPr>
          <w:rtl w:val="0"/>
        </w:rPr>
      </w:r>
    </w:p>
    <w:p w:rsidR="00000000" w:rsidDel="00000000" w:rsidP="00000000" w:rsidRDefault="00000000" w:rsidRPr="00000000" w14:paraId="00000051">
      <w:pPr>
        <w:numPr>
          <w:ilvl w:val="1"/>
          <w:numId w:val="1"/>
        </w:numPr>
        <w:ind w:left="1440" w:hanging="360"/>
        <w:rPr>
          <w:color w:val="222222"/>
          <w:sz w:val="24"/>
          <w:szCs w:val="24"/>
        </w:rPr>
      </w:pPr>
      <w:r w:rsidDel="00000000" w:rsidR="00000000" w:rsidRPr="00000000">
        <w:rPr>
          <w:color w:val="222222"/>
          <w:sz w:val="24"/>
          <w:szCs w:val="24"/>
          <w:highlight w:val="white"/>
          <w:rtl w:val="0"/>
        </w:rPr>
        <w:t xml:space="preserve">$</w:t>
      </w:r>
      <w:r w:rsidDel="00000000" w:rsidR="00000000" w:rsidRPr="00000000">
        <w:rPr>
          <w:color w:val="222222"/>
          <w:sz w:val="24"/>
          <w:szCs w:val="24"/>
          <w:rtl w:val="0"/>
        </w:rPr>
        <w:t xml:space="preserve">149.1 million in net proceeds </w:t>
      </w:r>
      <w:r w:rsidDel="00000000" w:rsidR="00000000" w:rsidRPr="00000000">
        <w:rPr>
          <w:color w:val="222222"/>
          <w:sz w:val="24"/>
          <w:szCs w:val="24"/>
          <w:highlight w:val="white"/>
          <w:rtl w:val="0"/>
        </w:rPr>
        <w:t xml:space="preserve">from sales</w:t>
      </w:r>
      <w:r w:rsidDel="00000000" w:rsidR="00000000" w:rsidRPr="00000000">
        <w:rPr>
          <w:rtl w:val="0"/>
        </w:rPr>
      </w:r>
    </w:p>
    <w:p w:rsidR="00000000" w:rsidDel="00000000" w:rsidP="00000000" w:rsidRDefault="00000000" w:rsidRPr="00000000" w14:paraId="00000052">
      <w:pPr>
        <w:numPr>
          <w:ilvl w:val="1"/>
          <w:numId w:val="1"/>
        </w:numPr>
        <w:spacing w:after="240" w:lineRule="auto"/>
        <w:ind w:left="1440" w:hanging="360"/>
        <w:rPr>
          <w:color w:val="222222"/>
          <w:sz w:val="24"/>
          <w:szCs w:val="24"/>
        </w:rPr>
      </w:pPr>
      <w:r w:rsidDel="00000000" w:rsidR="00000000" w:rsidRPr="00000000">
        <w:rPr>
          <w:color w:val="222222"/>
          <w:sz w:val="24"/>
          <w:szCs w:val="24"/>
          <w:rtl w:val="0"/>
        </w:rPr>
        <w:t xml:space="preserve">$19.5 </w:t>
      </w:r>
      <w:r w:rsidDel="00000000" w:rsidR="00000000" w:rsidRPr="00000000">
        <w:rPr>
          <w:color w:val="222222"/>
          <w:sz w:val="24"/>
          <w:szCs w:val="24"/>
          <w:highlight w:val="white"/>
          <w:rtl w:val="0"/>
        </w:rPr>
        <w:t xml:space="preserve">million in annual cost avoidance from owned operating and maintenance costs</w:t>
      </w:r>
      <w:r w:rsidDel="00000000" w:rsidR="00000000" w:rsidRPr="00000000">
        <w:rPr>
          <w:rtl w:val="0"/>
        </w:rPr>
      </w:r>
    </w:p>
    <w:p w:rsidR="00000000" w:rsidDel="00000000" w:rsidP="00000000" w:rsidRDefault="00000000" w:rsidRPr="00000000" w14:paraId="00000053">
      <w:pPr>
        <w:numPr>
          <w:ilvl w:val="0"/>
          <w:numId w:val="1"/>
        </w:numPr>
        <w:ind w:left="720" w:hanging="360"/>
        <w:rPr>
          <w:color w:val="222222"/>
          <w:sz w:val="24"/>
          <w:szCs w:val="24"/>
        </w:rPr>
      </w:pPr>
      <w:r w:rsidDel="00000000" w:rsidR="00000000" w:rsidRPr="00000000">
        <w:rPr>
          <w:color w:val="222222"/>
          <w:sz w:val="24"/>
          <w:szCs w:val="24"/>
          <w:highlight w:val="white"/>
          <w:rtl w:val="0"/>
        </w:rPr>
        <w:t xml:space="preserve">Civilian CFO Act agencies disposed </w:t>
      </w:r>
      <w:r w:rsidDel="00000000" w:rsidR="00000000" w:rsidRPr="00000000">
        <w:rPr>
          <w:color w:val="222222"/>
          <w:sz w:val="24"/>
          <w:szCs w:val="24"/>
          <w:rtl w:val="0"/>
        </w:rPr>
        <w:t xml:space="preserve">of 3,323 </w:t>
      </w:r>
      <w:r w:rsidDel="00000000" w:rsidR="00000000" w:rsidRPr="00000000">
        <w:rPr>
          <w:color w:val="222222"/>
          <w:sz w:val="24"/>
          <w:szCs w:val="24"/>
          <w:highlight w:val="white"/>
          <w:rtl w:val="0"/>
        </w:rPr>
        <w:t xml:space="preserve">owned and otherwise managed structures; DoW disposed of 1,032 owned and otherwise managed structures, resulting in:</w:t>
      </w:r>
      <w:r w:rsidDel="00000000" w:rsidR="00000000" w:rsidRPr="00000000">
        <w:rPr>
          <w:rtl w:val="0"/>
        </w:rPr>
      </w:r>
    </w:p>
    <w:p w:rsidR="00000000" w:rsidDel="00000000" w:rsidP="00000000" w:rsidRDefault="00000000" w:rsidRPr="00000000" w14:paraId="00000054">
      <w:pPr>
        <w:numPr>
          <w:ilvl w:val="1"/>
          <w:numId w:val="1"/>
        </w:numPr>
        <w:ind w:left="1440" w:hanging="360"/>
        <w:rPr>
          <w:color w:val="222222"/>
          <w:sz w:val="24"/>
          <w:szCs w:val="24"/>
        </w:rPr>
      </w:pPr>
      <w:r w:rsidDel="00000000" w:rsidR="00000000" w:rsidRPr="00000000">
        <w:rPr>
          <w:color w:val="222222"/>
          <w:sz w:val="24"/>
          <w:szCs w:val="24"/>
          <w:highlight w:val="white"/>
          <w:rtl w:val="0"/>
        </w:rPr>
        <w:t xml:space="preserve">$</w:t>
      </w:r>
      <w:r w:rsidDel="00000000" w:rsidR="00000000" w:rsidRPr="00000000">
        <w:rPr>
          <w:color w:val="222222"/>
          <w:sz w:val="24"/>
          <w:szCs w:val="24"/>
          <w:rtl w:val="0"/>
        </w:rPr>
        <w:t xml:space="preserve">1 million in net proceeds from sales</w:t>
      </w:r>
    </w:p>
    <w:p w:rsidR="00000000" w:rsidDel="00000000" w:rsidP="00000000" w:rsidRDefault="00000000" w:rsidRPr="00000000" w14:paraId="00000055">
      <w:pPr>
        <w:numPr>
          <w:ilvl w:val="1"/>
          <w:numId w:val="1"/>
        </w:numPr>
        <w:spacing w:after="240" w:lineRule="auto"/>
        <w:ind w:left="1440" w:hanging="360"/>
        <w:rPr>
          <w:color w:val="222222"/>
          <w:sz w:val="24"/>
          <w:szCs w:val="24"/>
        </w:rPr>
      </w:pPr>
      <w:r w:rsidDel="00000000" w:rsidR="00000000" w:rsidRPr="00000000">
        <w:rPr>
          <w:color w:val="222222"/>
          <w:sz w:val="24"/>
          <w:szCs w:val="24"/>
          <w:rtl w:val="0"/>
        </w:rPr>
        <w:t xml:space="preserve">$12.6 million in annual cost avoidance from owned annual operating and m</w:t>
      </w:r>
      <w:r w:rsidDel="00000000" w:rsidR="00000000" w:rsidRPr="00000000">
        <w:rPr>
          <w:color w:val="222222"/>
          <w:sz w:val="24"/>
          <w:szCs w:val="24"/>
          <w:highlight w:val="white"/>
          <w:rtl w:val="0"/>
        </w:rPr>
        <w:t xml:space="preserve">aintenance costs</w:t>
      </w:r>
      <w:r w:rsidDel="00000000" w:rsidR="00000000" w:rsidRPr="00000000">
        <w:rPr>
          <w:rtl w:val="0"/>
        </w:rPr>
      </w:r>
    </w:p>
    <w:p w:rsidR="00000000" w:rsidDel="00000000" w:rsidP="00000000" w:rsidRDefault="00000000" w:rsidRPr="00000000" w14:paraId="00000056">
      <w:pPr>
        <w:numPr>
          <w:ilvl w:val="0"/>
          <w:numId w:val="1"/>
        </w:numPr>
        <w:ind w:left="720" w:hanging="360"/>
        <w:rPr>
          <w:color w:val="222222"/>
          <w:sz w:val="24"/>
          <w:szCs w:val="24"/>
        </w:rPr>
      </w:pPr>
      <w:r w:rsidDel="00000000" w:rsidR="00000000" w:rsidRPr="00000000">
        <w:rPr>
          <w:color w:val="222222"/>
          <w:sz w:val="24"/>
          <w:szCs w:val="24"/>
          <w:highlight w:val="white"/>
          <w:rtl w:val="0"/>
        </w:rPr>
        <w:t xml:space="preserve">Civilian CFO Act agencies and DoW disposed of </w:t>
      </w:r>
      <w:r w:rsidDel="00000000" w:rsidR="00000000" w:rsidRPr="00000000">
        <w:rPr>
          <w:color w:val="222222"/>
          <w:sz w:val="24"/>
          <w:szCs w:val="24"/>
          <w:rtl w:val="0"/>
        </w:rPr>
        <w:t xml:space="preserve">8,360 </w:t>
      </w:r>
      <w:r w:rsidDel="00000000" w:rsidR="00000000" w:rsidRPr="00000000">
        <w:rPr>
          <w:color w:val="222222"/>
          <w:sz w:val="24"/>
          <w:szCs w:val="24"/>
          <w:highlight w:val="white"/>
          <w:rtl w:val="0"/>
        </w:rPr>
        <w:t xml:space="preserve">owned and otherwise managed acres, resulting in:</w:t>
      </w:r>
      <w:r w:rsidDel="00000000" w:rsidR="00000000" w:rsidRPr="00000000">
        <w:rPr>
          <w:rtl w:val="0"/>
        </w:rPr>
      </w:r>
    </w:p>
    <w:p w:rsidR="00000000" w:rsidDel="00000000" w:rsidP="00000000" w:rsidRDefault="00000000" w:rsidRPr="00000000" w14:paraId="00000057">
      <w:pPr>
        <w:numPr>
          <w:ilvl w:val="1"/>
          <w:numId w:val="1"/>
        </w:numPr>
        <w:ind w:left="1440" w:hanging="360"/>
        <w:rPr>
          <w:color w:val="222222"/>
          <w:sz w:val="24"/>
          <w:szCs w:val="24"/>
        </w:rPr>
      </w:pPr>
      <w:r w:rsidDel="00000000" w:rsidR="00000000" w:rsidRPr="00000000">
        <w:rPr>
          <w:color w:val="222222"/>
          <w:sz w:val="24"/>
          <w:szCs w:val="24"/>
          <w:rtl w:val="0"/>
        </w:rPr>
        <w:t xml:space="preserve">$5.3 million in net proceeds from sa</w:t>
      </w:r>
      <w:r w:rsidDel="00000000" w:rsidR="00000000" w:rsidRPr="00000000">
        <w:rPr>
          <w:color w:val="222222"/>
          <w:sz w:val="24"/>
          <w:szCs w:val="24"/>
          <w:highlight w:val="white"/>
          <w:rtl w:val="0"/>
        </w:rPr>
        <w:t xml:space="preserve">les</w:t>
      </w:r>
      <w:r w:rsidDel="00000000" w:rsidR="00000000" w:rsidRPr="00000000">
        <w:rPr>
          <w:rtl w:val="0"/>
        </w:rPr>
      </w:r>
    </w:p>
    <w:p w:rsidR="00000000" w:rsidDel="00000000" w:rsidP="00000000" w:rsidRDefault="00000000" w:rsidRPr="00000000" w14:paraId="00000058">
      <w:pPr>
        <w:numPr>
          <w:ilvl w:val="1"/>
          <w:numId w:val="1"/>
        </w:numPr>
        <w:spacing w:after="240" w:lineRule="auto"/>
        <w:ind w:left="1440" w:hanging="360"/>
        <w:rPr>
          <w:color w:val="222222"/>
          <w:sz w:val="24"/>
          <w:szCs w:val="24"/>
        </w:rPr>
      </w:pPr>
      <w:r w:rsidDel="00000000" w:rsidR="00000000" w:rsidRPr="00000000">
        <w:rPr>
          <w:color w:val="222222"/>
          <w:sz w:val="24"/>
          <w:szCs w:val="24"/>
          <w:rtl w:val="0"/>
        </w:rPr>
        <w:t xml:space="preserve">$0 in annual </w:t>
      </w:r>
      <w:r w:rsidDel="00000000" w:rsidR="00000000" w:rsidRPr="00000000">
        <w:rPr>
          <w:color w:val="222222"/>
          <w:sz w:val="24"/>
          <w:szCs w:val="24"/>
          <w:highlight w:val="white"/>
          <w:rtl w:val="0"/>
        </w:rPr>
        <w:t xml:space="preserve">cost avoidance from owned operating and maintenance cost</w:t>
      </w:r>
      <w:r w:rsidDel="00000000" w:rsidR="00000000" w:rsidRPr="00000000">
        <w:rPr>
          <w:rtl w:val="0"/>
        </w:rPr>
      </w:r>
    </w:p>
    <w:p w:rsidR="00000000" w:rsidDel="00000000" w:rsidP="00000000" w:rsidRDefault="00000000" w:rsidRPr="00000000" w14:paraId="00000059">
      <w:pPr>
        <w:spacing w:after="160" w:line="278.00000000000006" w:lineRule="auto"/>
        <w:rPr>
          <w:sz w:val="24"/>
          <w:szCs w:val="24"/>
        </w:rPr>
      </w:pPr>
      <w:r w:rsidDel="00000000" w:rsidR="00000000" w:rsidRPr="00000000">
        <w:rPr>
          <w:sz w:val="24"/>
          <w:szCs w:val="24"/>
          <w:rtl w:val="0"/>
        </w:rPr>
        <w:t xml:space="preserve">These disposals help agencies optimize their portfolios, reduce maintenance costs, and free up resources for mission-critical needs.</w:t>
      </w:r>
    </w:p>
    <w:p w:rsidR="00000000" w:rsidDel="00000000" w:rsidP="00000000" w:rsidRDefault="00000000" w:rsidRPr="00000000" w14:paraId="0000005A">
      <w:pPr>
        <w:spacing w:after="160" w:line="278.00000000000006" w:lineRule="auto"/>
        <w:rPr>
          <w:b w:val="1"/>
          <w:bCs w:val="1"/>
          <w:sz w:val="26"/>
          <w:szCs w:val="26"/>
        </w:rPr>
      </w:pPr>
      <w:r w:rsidDel="00000000" w:rsidR="00000000" w:rsidRPr="00000000">
        <w:rPr>
          <w:b w:val="1"/>
          <w:bCs w:val="1"/>
          <w:sz w:val="26"/>
          <w:szCs w:val="26"/>
          <w:rtl w:val="0"/>
        </w:rPr>
        <w:t xml:space="preserve">Looking Ahead </w:t>
      </w:r>
    </w:p>
    <w:p w:rsidR="00000000" w:rsidDel="00000000" w:rsidP="00000000" w:rsidRDefault="00000000" w:rsidRPr="00000000" w14:paraId="0000005B">
      <w:pPr>
        <w:spacing w:after="160" w:line="278.00000000000006" w:lineRule="auto"/>
        <w:rPr>
          <w:sz w:val="24"/>
          <w:szCs w:val="24"/>
        </w:rPr>
      </w:pPr>
      <w:r w:rsidDel="00000000" w:rsidR="00000000" w:rsidRPr="00000000">
        <w:rPr>
          <w:sz w:val="24"/>
          <w:szCs w:val="24"/>
          <w:rtl w:val="0"/>
        </w:rPr>
        <w:t xml:space="preserve">The FY 2026 FRPP data submission, due in December 2026, will reflect federal real property efficiency reforms, including disposing of unneeded properties and reducing leased space due to Section 2302 of the Thomas R. Carper Water Resources Development Act of 2024, known as the USE IT Act, which establishes new occupancy and utilization standards.</w:t>
      </w:r>
    </w:p>
    <w:p w:rsidR="00000000" w:rsidDel="00000000" w:rsidP="00000000" w:rsidRDefault="00000000" w:rsidRPr="00000000" w14:paraId="0000005C">
      <w:pPr>
        <w:spacing w:after="160" w:line="278.00000000000006" w:lineRule="auto"/>
        <w:rPr>
          <w:sz w:val="24"/>
          <w:szCs w:val="24"/>
        </w:rPr>
      </w:pPr>
      <w:r w:rsidDel="00000000" w:rsidR="00000000" w:rsidRPr="00000000">
        <w:rPr>
          <w:sz w:val="24"/>
          <w:szCs w:val="24"/>
          <w:rtl w:val="0"/>
        </w:rPr>
        <w:t xml:space="preserve">The USE IT Act requires agencies to use standardized technologies, such as badge-swipe data and sensors, to measure space usage. They must report occupancy, capacity, and utilization metrics annually to the OMB Collect system, rather than to the FRPP, with a target of 60% building utilization. This work will create a more efficient, cost-effective, and mission-aligned federal real property portfolio. For more information, visit GSA’s website </w:t>
      </w:r>
      <w:hyperlink r:id="rId11">
        <w:r w:rsidDel="00000000" w:rsidR="00000000" w:rsidRPr="00000000">
          <w:rPr>
            <w:color w:val="0000ff"/>
            <w:sz w:val="24"/>
            <w:szCs w:val="24"/>
            <w:u w:val="single"/>
            <w:rtl w:val="0"/>
          </w:rPr>
          <w:t xml:space="preserve">www.gsa.gov/useit</w:t>
        </w:r>
      </w:hyperlink>
      <w:r w:rsidDel="00000000" w:rsidR="00000000" w:rsidRPr="00000000">
        <w:rPr>
          <w:sz w:val="24"/>
          <w:szCs w:val="24"/>
          <w:rtl w:val="0"/>
        </w:rPr>
        <w:t xml:space="preserve">.</w:t>
      </w:r>
    </w:p>
    <w:p w:rsidR="00000000" w:rsidDel="00000000" w:rsidP="00000000" w:rsidRDefault="00000000" w:rsidRPr="00000000" w14:paraId="0000005D">
      <w:pPr>
        <w:spacing w:after="160" w:line="278.00000000000006" w:lineRule="auto"/>
        <w:rPr>
          <w:sz w:val="24"/>
          <w:szCs w:val="24"/>
        </w:rPr>
      </w:pPr>
      <w:r w:rsidDel="00000000" w:rsidR="00000000" w:rsidRPr="00000000">
        <w:rPr>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Department of War includes the Departments of the Army, Air Force, and Navy, the Corps of Engineers, and Washington Headquarters Services (WHS).</w:t>
      </w:r>
    </w:p>
  </w:footnote>
  <w:footnote w:id="1">
    <w:p w:rsidR="00000000" w:rsidDel="00000000" w:rsidP="00000000" w:rsidRDefault="00000000" w:rsidRPr="00000000" w14:paraId="000000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Total Annual Costs for owned assets are the total of Operating costs and Maintenance costs; for leased assets, it is the total of Operating costs, Maintenance costs and Rent.</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yperlink" Target="http://www.gsa.gov/useit" TargetMode="External"/><Relationship Id="rId10" Type="http://schemas.openxmlformats.org/officeDocument/2006/relationships/hyperlink" Target="https://www.gsa.gov/policy-regulations/policy/real-property-policy-division-overview/data-collection-and-reports/frpp-summary-report-library" TargetMode="External"/><Relationship Id="rId9" Type="http://schemas.openxmlformats.org/officeDocument/2006/relationships/hyperlink" Target="http://www.gsa.gov/frppreport"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publicfrppdata.realpropertyprofile.gov/" TargetMode="External"/><Relationship Id="rId8" Type="http://schemas.openxmlformats.org/officeDocument/2006/relationships/hyperlink" Target="https://publicfrppdata.realpropertyprofil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