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7E9D" w14:textId="77777777" w:rsidR="00B34815" w:rsidRDefault="00B34815">
      <w:pPr>
        <w:ind w:left="0" w:hanging="2"/>
      </w:pPr>
    </w:p>
    <w:p w14:paraId="5E2313D7" w14:textId="77777777" w:rsidR="00B34815" w:rsidRDefault="00B34815">
      <w:pPr>
        <w:ind w:left="0" w:hanging="2"/>
      </w:pPr>
    </w:p>
    <w:p w14:paraId="02BD11E6" w14:textId="77777777" w:rsidR="00B34815" w:rsidRDefault="00B34815">
      <w:pPr>
        <w:ind w:left="0" w:hanging="2"/>
      </w:pPr>
    </w:p>
    <w:p w14:paraId="2A646286" w14:textId="77777777" w:rsidR="00B34815" w:rsidRDefault="00B34815">
      <w:pPr>
        <w:ind w:left="0" w:hanging="2"/>
      </w:pPr>
    </w:p>
    <w:p w14:paraId="68246A79" w14:textId="77777777" w:rsidR="00B34815" w:rsidRDefault="00B34815">
      <w:pPr>
        <w:ind w:left="0" w:hanging="2"/>
      </w:pPr>
    </w:p>
    <w:p w14:paraId="581592DA" w14:textId="77777777" w:rsidR="00B34815" w:rsidRDefault="00B34815">
      <w:pPr>
        <w:ind w:left="0" w:hanging="2"/>
      </w:pPr>
    </w:p>
    <w:p w14:paraId="4EAF8871" w14:textId="77777777" w:rsidR="00B34815" w:rsidRDefault="00B34815">
      <w:pPr>
        <w:ind w:left="0" w:hanging="2"/>
      </w:pPr>
    </w:p>
    <w:p w14:paraId="3F122953" w14:textId="77777777" w:rsidR="00B34815" w:rsidRDefault="00B34815">
      <w:pPr>
        <w:ind w:left="0" w:hanging="2"/>
      </w:pPr>
    </w:p>
    <w:p w14:paraId="36C81990" w14:textId="77777777" w:rsidR="00B34815" w:rsidRDefault="00B34815">
      <w:pPr>
        <w:ind w:left="0" w:hanging="2"/>
      </w:pPr>
    </w:p>
    <w:p w14:paraId="35897CEF" w14:textId="77777777" w:rsidR="00B34815" w:rsidRDefault="00B34815">
      <w:pPr>
        <w:ind w:left="0" w:hanging="2"/>
      </w:pPr>
    </w:p>
    <w:p w14:paraId="768AAB92" w14:textId="77777777" w:rsidR="00B34815" w:rsidRPr="00F32D0E" w:rsidRDefault="007213CB">
      <w:pPr>
        <w:ind w:left="-2" w:firstLine="0"/>
        <w:rPr>
          <w:rFonts w:asciiTheme="majorHAnsi" w:eastAsia="Times New Roman" w:hAnsiTheme="majorHAnsi" w:cstheme="majorHAnsi"/>
          <w:color w:val="2E74B5"/>
          <w:sz w:val="52"/>
          <w:szCs w:val="52"/>
        </w:rPr>
      </w:pPr>
      <w:r w:rsidRPr="00F32D0E">
        <w:rPr>
          <w:rFonts w:asciiTheme="majorHAnsi" w:eastAsia="Times New Roman" w:hAnsiTheme="majorHAnsi" w:cstheme="majorHAnsi"/>
          <w:color w:val="2E74B5"/>
          <w:sz w:val="52"/>
          <w:szCs w:val="52"/>
        </w:rPr>
        <w:t xml:space="preserve">U.S. General Services Administration </w:t>
      </w:r>
    </w:p>
    <w:p w14:paraId="40E4FC92" w14:textId="77777777" w:rsidR="00B34815" w:rsidRPr="00F32D0E" w:rsidRDefault="007213CB">
      <w:pPr>
        <w:ind w:left="2" w:hanging="4"/>
        <w:rPr>
          <w:rFonts w:asciiTheme="majorHAnsi" w:eastAsia="Times New Roman" w:hAnsiTheme="majorHAnsi" w:cstheme="majorHAnsi"/>
          <w:color w:val="2E74B5"/>
          <w:sz w:val="36"/>
          <w:szCs w:val="36"/>
        </w:rPr>
      </w:pPr>
      <w:r w:rsidRPr="00F32D0E">
        <w:rPr>
          <w:rFonts w:asciiTheme="majorHAnsi" w:eastAsia="Times New Roman" w:hAnsiTheme="majorHAnsi" w:cstheme="majorHAnsi"/>
          <w:color w:val="2E74B5"/>
          <w:sz w:val="36"/>
          <w:szCs w:val="36"/>
        </w:rPr>
        <w:t xml:space="preserve">Executive Order 13821, “Streamlining and Expediting Requests to Locate Broadband Facilities in Rural America” </w:t>
      </w:r>
    </w:p>
    <w:p w14:paraId="2BBA42AF" w14:textId="26A08546" w:rsidR="00B34815" w:rsidRPr="00F32D0E" w:rsidRDefault="007213CB">
      <w:pPr>
        <w:ind w:left="2" w:hanging="4"/>
        <w:rPr>
          <w:rFonts w:asciiTheme="majorHAnsi" w:eastAsia="Times New Roman" w:hAnsiTheme="majorHAnsi" w:cstheme="majorHAnsi"/>
          <w:color w:val="2E74B5"/>
          <w:sz w:val="36"/>
          <w:szCs w:val="36"/>
        </w:rPr>
      </w:pPr>
      <w:r w:rsidRPr="00F32D0E">
        <w:rPr>
          <w:rFonts w:asciiTheme="majorHAnsi" w:eastAsia="Times New Roman" w:hAnsiTheme="majorHAnsi" w:cstheme="majorHAnsi"/>
          <w:color w:val="2E74B5"/>
          <w:sz w:val="36"/>
          <w:szCs w:val="36"/>
        </w:rPr>
        <w:t>Q</w:t>
      </w:r>
      <w:r w:rsidR="00422DB2">
        <w:rPr>
          <w:rFonts w:asciiTheme="majorHAnsi" w:eastAsia="Times New Roman" w:hAnsiTheme="majorHAnsi" w:cstheme="majorHAnsi"/>
          <w:color w:val="2E74B5"/>
          <w:sz w:val="36"/>
          <w:szCs w:val="36"/>
        </w:rPr>
        <w:t>4</w:t>
      </w:r>
      <w:r w:rsidRPr="00F32D0E">
        <w:rPr>
          <w:rFonts w:asciiTheme="majorHAnsi" w:eastAsia="Times New Roman" w:hAnsiTheme="majorHAnsi" w:cstheme="majorHAnsi"/>
          <w:color w:val="2E74B5"/>
          <w:sz w:val="36"/>
          <w:szCs w:val="36"/>
        </w:rPr>
        <w:t xml:space="preserve"> FY </w:t>
      </w:r>
      <w:r w:rsidR="00985B19">
        <w:rPr>
          <w:rFonts w:asciiTheme="majorHAnsi" w:eastAsia="Times New Roman" w:hAnsiTheme="majorHAnsi" w:cstheme="majorHAnsi"/>
          <w:color w:val="2E74B5"/>
          <w:sz w:val="36"/>
          <w:szCs w:val="36"/>
        </w:rPr>
        <w:t>20</w:t>
      </w:r>
      <w:r w:rsidRPr="00F32D0E">
        <w:rPr>
          <w:rFonts w:asciiTheme="majorHAnsi" w:eastAsia="Times New Roman" w:hAnsiTheme="majorHAnsi" w:cstheme="majorHAnsi"/>
          <w:color w:val="2E74B5"/>
          <w:sz w:val="36"/>
          <w:szCs w:val="36"/>
        </w:rPr>
        <w:t>2</w:t>
      </w:r>
      <w:r w:rsidR="00985B19">
        <w:rPr>
          <w:rFonts w:asciiTheme="majorHAnsi" w:eastAsia="Times New Roman" w:hAnsiTheme="majorHAnsi" w:cstheme="majorHAnsi"/>
          <w:color w:val="2E74B5"/>
          <w:sz w:val="36"/>
          <w:szCs w:val="36"/>
        </w:rPr>
        <w:t>2</w:t>
      </w:r>
      <w:r w:rsidRPr="00F32D0E">
        <w:rPr>
          <w:rFonts w:asciiTheme="majorHAnsi" w:eastAsia="Times New Roman" w:hAnsiTheme="majorHAnsi" w:cstheme="majorHAnsi"/>
          <w:color w:val="2E74B5"/>
          <w:sz w:val="36"/>
          <w:szCs w:val="36"/>
        </w:rPr>
        <w:t xml:space="preserve"> Quarterly Report </w:t>
      </w:r>
    </w:p>
    <w:p w14:paraId="239CFEA8" w14:textId="77777777" w:rsidR="00B34815" w:rsidRDefault="00B34815">
      <w:pPr>
        <w:ind w:left="1" w:hanging="3"/>
        <w:rPr>
          <w:rFonts w:ascii="Times New Roman" w:eastAsia="Times New Roman" w:hAnsi="Times New Roman" w:cs="Times New Roman"/>
          <w:color w:val="2E74B5"/>
          <w:sz w:val="32"/>
          <w:szCs w:val="32"/>
        </w:rPr>
      </w:pPr>
    </w:p>
    <w:p w14:paraId="58E226A8" w14:textId="77777777" w:rsidR="00B34815" w:rsidRDefault="00B34815">
      <w:pPr>
        <w:ind w:left="1" w:hanging="3"/>
        <w:rPr>
          <w:rFonts w:ascii="Times New Roman" w:eastAsia="Times New Roman" w:hAnsi="Times New Roman" w:cs="Times New Roman"/>
          <w:color w:val="2E74B5"/>
          <w:sz w:val="32"/>
          <w:szCs w:val="32"/>
        </w:rPr>
      </w:pPr>
    </w:p>
    <w:p w14:paraId="76F1DAA3" w14:textId="77777777" w:rsidR="00B34815" w:rsidRDefault="00B34815">
      <w:pPr>
        <w:ind w:left="1" w:hanging="3"/>
        <w:rPr>
          <w:rFonts w:ascii="Times New Roman" w:eastAsia="Times New Roman" w:hAnsi="Times New Roman" w:cs="Times New Roman"/>
          <w:color w:val="2E74B5"/>
          <w:sz w:val="32"/>
          <w:szCs w:val="32"/>
        </w:rPr>
      </w:pPr>
    </w:p>
    <w:p w14:paraId="375D96BA" w14:textId="77777777" w:rsidR="00B34815" w:rsidRDefault="00B34815">
      <w:pPr>
        <w:ind w:left="1" w:hanging="3"/>
        <w:rPr>
          <w:rFonts w:ascii="Times New Roman" w:eastAsia="Times New Roman" w:hAnsi="Times New Roman" w:cs="Times New Roman"/>
          <w:color w:val="2E74B5"/>
          <w:sz w:val="32"/>
          <w:szCs w:val="32"/>
        </w:rPr>
      </w:pPr>
    </w:p>
    <w:p w14:paraId="1C6C2C9F" w14:textId="77777777" w:rsidR="00B34815" w:rsidRDefault="00B34815">
      <w:pPr>
        <w:ind w:left="1" w:hanging="3"/>
        <w:rPr>
          <w:rFonts w:ascii="Times New Roman" w:eastAsia="Times New Roman" w:hAnsi="Times New Roman" w:cs="Times New Roman"/>
          <w:color w:val="2E74B5"/>
          <w:sz w:val="32"/>
          <w:szCs w:val="32"/>
        </w:rPr>
      </w:pPr>
    </w:p>
    <w:p w14:paraId="7CF89B70" w14:textId="77777777" w:rsidR="00B34815" w:rsidRDefault="00B34815">
      <w:pPr>
        <w:ind w:left="1" w:hanging="3"/>
        <w:rPr>
          <w:rFonts w:ascii="Times New Roman" w:eastAsia="Times New Roman" w:hAnsi="Times New Roman" w:cs="Times New Roman"/>
          <w:color w:val="2E74B5"/>
          <w:sz w:val="32"/>
          <w:szCs w:val="32"/>
        </w:rPr>
      </w:pPr>
    </w:p>
    <w:p w14:paraId="6870030F" w14:textId="77777777" w:rsidR="00B34815" w:rsidRPr="00F32D0E" w:rsidRDefault="00B34815">
      <w:pPr>
        <w:ind w:left="1" w:hanging="3"/>
        <w:rPr>
          <w:rFonts w:asciiTheme="majorHAnsi" w:eastAsia="Times New Roman" w:hAnsiTheme="majorHAnsi" w:cstheme="majorHAnsi"/>
          <w:color w:val="2E74B5"/>
          <w:sz w:val="32"/>
          <w:szCs w:val="32"/>
        </w:rPr>
      </w:pPr>
    </w:p>
    <w:p w14:paraId="2C323B87" w14:textId="55291BF7" w:rsidR="00B34815" w:rsidRPr="00F32D0E" w:rsidRDefault="007213CB">
      <w:pPr>
        <w:ind w:left="0" w:firstLine="0"/>
        <w:rPr>
          <w:rFonts w:asciiTheme="majorHAnsi" w:eastAsia="Times New Roman" w:hAnsiTheme="majorHAnsi" w:cstheme="majorHAnsi"/>
          <w:color w:val="2E74B5"/>
          <w:sz w:val="24"/>
          <w:szCs w:val="24"/>
        </w:rPr>
      </w:pPr>
      <w:r w:rsidRPr="00F32D0E">
        <w:rPr>
          <w:rFonts w:asciiTheme="majorHAnsi" w:eastAsia="Times New Roman" w:hAnsiTheme="majorHAnsi" w:cstheme="majorHAnsi"/>
          <w:color w:val="2E74B5"/>
          <w:sz w:val="24"/>
          <w:szCs w:val="24"/>
        </w:rPr>
        <w:t>Prepared for the Director of the Office of Management and Budget per the requirements o</w:t>
      </w:r>
      <w:r w:rsidR="007354D9">
        <w:rPr>
          <w:rFonts w:asciiTheme="majorHAnsi" w:eastAsia="Times New Roman" w:hAnsiTheme="majorHAnsi" w:cstheme="majorHAnsi"/>
          <w:color w:val="2E74B5"/>
          <w:sz w:val="24"/>
          <w:szCs w:val="24"/>
        </w:rPr>
        <w:t>f</w:t>
      </w:r>
      <w:r w:rsidRPr="00F32D0E">
        <w:rPr>
          <w:rFonts w:asciiTheme="majorHAnsi" w:eastAsia="Times New Roman" w:hAnsiTheme="majorHAnsi" w:cstheme="majorHAnsi"/>
          <w:color w:val="2E74B5"/>
          <w:sz w:val="24"/>
          <w:szCs w:val="24"/>
        </w:rPr>
        <w:t xml:space="preserve"> subsection 2(e) of Executive Order 13821 </w:t>
      </w:r>
    </w:p>
    <w:p w14:paraId="1E228528" w14:textId="77777777" w:rsidR="00B34815" w:rsidRDefault="00B34815">
      <w:pPr>
        <w:ind w:left="1" w:hanging="3"/>
        <w:jc w:val="center"/>
        <w:rPr>
          <w:rFonts w:ascii="Times New Roman" w:eastAsia="Times New Roman" w:hAnsi="Times New Roman" w:cs="Times New Roman"/>
          <w:sz w:val="28"/>
          <w:szCs w:val="28"/>
        </w:rPr>
      </w:pPr>
    </w:p>
    <w:p w14:paraId="2D5B2494" w14:textId="77777777" w:rsidR="00B34815" w:rsidRDefault="00B34815">
      <w:pPr>
        <w:ind w:left="1" w:hanging="3"/>
        <w:rPr>
          <w:rFonts w:ascii="Times New Roman" w:eastAsia="Times New Roman" w:hAnsi="Times New Roman" w:cs="Times New Roman"/>
          <w:b/>
          <w:sz w:val="28"/>
          <w:szCs w:val="28"/>
        </w:rPr>
      </w:pPr>
    </w:p>
    <w:p w14:paraId="1C96FB77" w14:textId="77777777" w:rsidR="00B34815" w:rsidRDefault="00B34815">
      <w:pPr>
        <w:ind w:left="1" w:hanging="3"/>
        <w:rPr>
          <w:rFonts w:ascii="Times New Roman" w:eastAsia="Times New Roman" w:hAnsi="Times New Roman" w:cs="Times New Roman"/>
          <w:b/>
          <w:sz w:val="28"/>
          <w:szCs w:val="28"/>
        </w:rPr>
      </w:pPr>
    </w:p>
    <w:p w14:paraId="6739B276" w14:textId="219020EC" w:rsidR="00B34815" w:rsidRPr="00F32D0E" w:rsidRDefault="007213CB">
      <w:pPr>
        <w:ind w:left="1" w:hanging="3"/>
        <w:rPr>
          <w:rFonts w:asciiTheme="majorHAnsi" w:eastAsia="Times New Roman" w:hAnsiTheme="majorHAnsi" w:cstheme="majorHAnsi"/>
          <w:sz w:val="28"/>
          <w:szCs w:val="28"/>
        </w:rPr>
      </w:pPr>
      <w:r w:rsidRPr="00F32D0E">
        <w:rPr>
          <w:rFonts w:asciiTheme="majorHAnsi" w:eastAsia="Times New Roman" w:hAnsiTheme="majorHAnsi" w:cstheme="majorHAnsi"/>
          <w:b/>
          <w:sz w:val="28"/>
          <w:szCs w:val="28"/>
        </w:rPr>
        <w:t>Table of Contents</w:t>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t xml:space="preserve">    </w:t>
      </w:r>
    </w:p>
    <w:sdt>
      <w:sdtPr>
        <w:rPr>
          <w:rFonts w:asciiTheme="majorHAnsi" w:hAnsiTheme="majorHAnsi" w:cstheme="majorHAnsi"/>
        </w:rPr>
        <w:id w:val="-773331055"/>
        <w:docPartObj>
          <w:docPartGallery w:val="Table of Contents"/>
          <w:docPartUnique/>
        </w:docPartObj>
      </w:sdtPr>
      <w:sdtContent>
        <w:p w14:paraId="2B80357B" w14:textId="287B8421" w:rsidR="00B34815" w:rsidRPr="00F32D0E" w:rsidRDefault="007213CB" w:rsidP="0027397C">
          <w:pPr>
            <w:pBdr>
              <w:top w:val="nil"/>
              <w:left w:val="nil"/>
              <w:bottom w:val="nil"/>
              <w:right w:val="nil"/>
              <w:between w:val="nil"/>
            </w:pBdr>
            <w:spacing w:after="100"/>
            <w:ind w:left="0" w:hanging="2"/>
            <w:rPr>
              <w:rFonts w:asciiTheme="majorHAnsi" w:hAnsiTheme="majorHAnsi" w:cstheme="majorHAnsi"/>
              <w:color w:val="000000"/>
            </w:rPr>
          </w:pPr>
          <w:r w:rsidRPr="00F32D0E">
            <w:rPr>
              <w:rFonts w:asciiTheme="majorHAnsi" w:hAnsiTheme="majorHAnsi" w:cstheme="majorHAnsi"/>
            </w:rPr>
            <w:fldChar w:fldCharType="begin"/>
          </w:r>
          <w:r w:rsidRPr="00F32D0E">
            <w:rPr>
              <w:rFonts w:asciiTheme="majorHAnsi" w:hAnsiTheme="majorHAnsi" w:cstheme="majorHAnsi"/>
            </w:rPr>
            <w:instrText xml:space="preserve"> TOC \h \u \z </w:instrText>
          </w:r>
          <w:r w:rsidRPr="00F32D0E">
            <w:rPr>
              <w:rFonts w:asciiTheme="majorHAnsi" w:hAnsiTheme="majorHAnsi" w:cstheme="majorHAnsi"/>
            </w:rPr>
            <w:fldChar w:fldCharType="separate"/>
          </w:r>
          <w:hyperlink w:anchor="_gjdgxs">
            <w:r w:rsidRPr="00F32D0E">
              <w:rPr>
                <w:rFonts w:asciiTheme="majorHAnsi" w:eastAsia="Times New Roman" w:hAnsiTheme="majorHAnsi" w:cstheme="majorHAnsi"/>
                <w:color w:val="000000"/>
                <w:sz w:val="24"/>
                <w:szCs w:val="24"/>
              </w:rPr>
              <w:t>I.</w:t>
            </w:r>
          </w:hyperlink>
          <w:r w:rsidRPr="00F32D0E">
            <w:rPr>
              <w:rFonts w:asciiTheme="majorHAnsi" w:eastAsia="Times New Roman" w:hAnsiTheme="majorHAnsi" w:cstheme="majorHAnsi"/>
              <w:color w:val="000000"/>
              <w:sz w:val="24"/>
              <w:szCs w:val="24"/>
            </w:rPr>
            <w:t xml:space="preserve">    Executive Summary ……………………………………………………………………</w:t>
          </w:r>
          <w:r w:rsidR="00106CFA">
            <w:rPr>
              <w:rFonts w:asciiTheme="majorHAnsi" w:eastAsia="Times New Roman" w:hAnsiTheme="majorHAnsi" w:cstheme="majorHAnsi"/>
              <w:color w:val="000000"/>
              <w:sz w:val="24"/>
              <w:szCs w:val="24"/>
            </w:rPr>
            <w:t>…………………</w:t>
          </w:r>
          <w:r w:rsidR="002330F3">
            <w:rPr>
              <w:rFonts w:asciiTheme="majorHAnsi" w:eastAsia="Times New Roman" w:hAnsiTheme="majorHAnsi" w:cstheme="majorHAnsi"/>
              <w:color w:val="000000"/>
              <w:sz w:val="24"/>
              <w:szCs w:val="24"/>
            </w:rPr>
            <w:t>……………</w:t>
          </w:r>
          <w:hyperlink w:anchor="_gjdgxs">
            <w:r w:rsidRPr="00F32D0E">
              <w:rPr>
                <w:rFonts w:asciiTheme="majorHAnsi" w:hAnsiTheme="majorHAnsi" w:cstheme="majorHAnsi"/>
                <w:color w:val="000000"/>
              </w:rPr>
              <w:tab/>
            </w:r>
          </w:hyperlink>
          <w:r w:rsidRPr="00F32D0E">
            <w:rPr>
              <w:rFonts w:asciiTheme="majorHAnsi" w:hAnsiTheme="majorHAnsi" w:cstheme="majorHAnsi"/>
            </w:rPr>
            <w:t>3</w:t>
          </w:r>
        </w:p>
        <w:p w14:paraId="709076A3" w14:textId="19F7E3BC" w:rsidR="00B34815" w:rsidRPr="00F32D0E" w:rsidRDefault="00000000" w:rsidP="0027397C">
          <w:pPr>
            <w:pBdr>
              <w:top w:val="nil"/>
              <w:left w:val="nil"/>
              <w:bottom w:val="nil"/>
              <w:right w:val="nil"/>
              <w:between w:val="nil"/>
            </w:pBdr>
            <w:spacing w:after="100"/>
            <w:ind w:left="0" w:hanging="2"/>
            <w:rPr>
              <w:rFonts w:asciiTheme="majorHAnsi" w:hAnsiTheme="majorHAnsi" w:cstheme="majorHAnsi"/>
              <w:color w:val="000000"/>
            </w:rPr>
          </w:pPr>
          <w:hyperlink w:anchor="_30j0zll">
            <w:r w:rsidR="007213CB" w:rsidRPr="00F32D0E">
              <w:rPr>
                <w:rFonts w:asciiTheme="majorHAnsi" w:eastAsia="Times New Roman" w:hAnsiTheme="majorHAnsi" w:cstheme="majorHAnsi"/>
                <w:color w:val="000000"/>
                <w:sz w:val="24"/>
                <w:szCs w:val="24"/>
              </w:rPr>
              <w:t>II.</w:t>
            </w:r>
          </w:hyperlink>
          <w:r w:rsidR="007213CB" w:rsidRPr="00F32D0E">
            <w:rPr>
              <w:rFonts w:asciiTheme="majorHAnsi" w:eastAsia="Times New Roman" w:hAnsiTheme="majorHAnsi" w:cstheme="majorHAnsi"/>
              <w:color w:val="000000"/>
              <w:sz w:val="24"/>
              <w:szCs w:val="24"/>
            </w:rPr>
            <w:t xml:space="preserve">   Background ……………………………………………………………………………</w:t>
          </w:r>
          <w:r w:rsidR="00106CFA">
            <w:rPr>
              <w:rFonts w:asciiTheme="majorHAnsi" w:eastAsia="Times New Roman" w:hAnsiTheme="majorHAnsi" w:cstheme="majorHAnsi"/>
              <w:color w:val="000000"/>
              <w:sz w:val="24"/>
              <w:szCs w:val="24"/>
            </w:rPr>
            <w:t>……………………….</w:t>
          </w:r>
          <w:hyperlink w:anchor="_30j0zll">
            <w:r w:rsidR="007213CB" w:rsidRPr="00F32D0E">
              <w:rPr>
                <w:rFonts w:asciiTheme="majorHAnsi" w:hAnsiTheme="majorHAnsi" w:cstheme="majorHAnsi"/>
                <w:color w:val="000000"/>
              </w:rPr>
              <w:tab/>
            </w:r>
          </w:hyperlink>
          <w:r w:rsidR="002330F3">
            <w:rPr>
              <w:rFonts w:asciiTheme="majorHAnsi" w:hAnsiTheme="majorHAnsi" w:cstheme="majorHAnsi"/>
              <w:color w:val="000000"/>
            </w:rPr>
            <w:t>…………..</w:t>
          </w:r>
          <w:r w:rsidR="007213CB" w:rsidRPr="00F32D0E">
            <w:rPr>
              <w:rFonts w:asciiTheme="majorHAnsi" w:hAnsiTheme="majorHAnsi" w:cstheme="majorHAnsi"/>
            </w:rPr>
            <w:fldChar w:fldCharType="begin"/>
          </w:r>
          <w:r w:rsidR="007213CB" w:rsidRPr="00F32D0E">
            <w:rPr>
              <w:rFonts w:asciiTheme="majorHAnsi" w:hAnsiTheme="majorHAnsi" w:cstheme="majorHAnsi"/>
            </w:rPr>
            <w:instrText xml:space="preserve"> PAGEREF _30j0zll \h </w:instrText>
          </w:r>
          <w:r w:rsidR="007213CB" w:rsidRPr="00F32D0E">
            <w:rPr>
              <w:rFonts w:asciiTheme="majorHAnsi" w:hAnsiTheme="majorHAnsi" w:cstheme="majorHAnsi"/>
            </w:rPr>
          </w:r>
          <w:r w:rsidR="007213CB" w:rsidRPr="00F32D0E">
            <w:rPr>
              <w:rFonts w:asciiTheme="majorHAnsi" w:hAnsiTheme="majorHAnsi" w:cstheme="majorHAnsi"/>
            </w:rPr>
            <w:fldChar w:fldCharType="separate"/>
          </w:r>
          <w:r w:rsidR="007213CB" w:rsidRPr="00F32D0E">
            <w:rPr>
              <w:rFonts w:asciiTheme="majorHAnsi" w:hAnsiTheme="majorHAnsi" w:cstheme="majorHAnsi"/>
            </w:rPr>
            <w:t>3</w:t>
          </w:r>
          <w:r w:rsidR="007213CB" w:rsidRPr="00F32D0E">
            <w:rPr>
              <w:rFonts w:asciiTheme="majorHAnsi" w:hAnsiTheme="majorHAnsi" w:cstheme="majorHAnsi"/>
            </w:rPr>
            <w:fldChar w:fldCharType="end"/>
          </w:r>
        </w:p>
        <w:p w14:paraId="71244BF0" w14:textId="390B3576" w:rsidR="00B34815" w:rsidRPr="00F32D0E" w:rsidRDefault="00000000" w:rsidP="0027397C">
          <w:pPr>
            <w:pBdr>
              <w:top w:val="nil"/>
              <w:left w:val="nil"/>
              <w:bottom w:val="nil"/>
              <w:right w:val="nil"/>
              <w:between w:val="nil"/>
            </w:pBdr>
            <w:spacing w:after="100"/>
            <w:ind w:left="0" w:hanging="2"/>
            <w:rPr>
              <w:rFonts w:asciiTheme="majorHAnsi" w:hAnsiTheme="majorHAnsi" w:cstheme="majorHAnsi"/>
              <w:color w:val="000000"/>
            </w:rPr>
          </w:pPr>
          <w:hyperlink w:anchor="_1fob9te">
            <w:r w:rsidR="007213CB" w:rsidRPr="00F32D0E">
              <w:rPr>
                <w:rFonts w:asciiTheme="majorHAnsi" w:eastAsia="Times New Roman" w:hAnsiTheme="majorHAnsi" w:cstheme="majorHAnsi"/>
                <w:color w:val="000000"/>
                <w:sz w:val="24"/>
                <w:szCs w:val="24"/>
              </w:rPr>
              <w:t>III.</w:t>
            </w:r>
          </w:hyperlink>
          <w:r w:rsidR="007213CB" w:rsidRPr="00F32D0E">
            <w:rPr>
              <w:rFonts w:asciiTheme="majorHAnsi" w:eastAsia="Times New Roman" w:hAnsiTheme="majorHAnsi" w:cstheme="majorHAnsi"/>
              <w:color w:val="000000"/>
              <w:sz w:val="24"/>
              <w:szCs w:val="24"/>
            </w:rPr>
            <w:t xml:space="preserve">  GSA Reporting Requirements Under Executive Order 13821 ………………………..</w:t>
          </w:r>
          <w:r w:rsidR="00106CFA">
            <w:rPr>
              <w:rFonts w:asciiTheme="majorHAnsi" w:hAnsiTheme="majorHAnsi" w:cstheme="majorHAnsi"/>
              <w:color w:val="000000"/>
            </w:rPr>
            <w:t>...</w:t>
          </w:r>
          <w:r w:rsidR="002330F3">
            <w:rPr>
              <w:rFonts w:asciiTheme="majorHAnsi" w:hAnsiTheme="majorHAnsi" w:cstheme="majorHAnsi"/>
              <w:color w:val="000000"/>
            </w:rPr>
            <w:t>............</w:t>
          </w:r>
          <w:r w:rsidR="0074513C">
            <w:rPr>
              <w:rFonts w:asciiTheme="majorHAnsi" w:hAnsiTheme="majorHAnsi" w:cstheme="majorHAnsi"/>
            </w:rPr>
            <w:t>4</w:t>
          </w:r>
        </w:p>
        <w:p w14:paraId="431A0ED7" w14:textId="4A6AA85C" w:rsidR="0027397C" w:rsidRPr="00F32D0E" w:rsidRDefault="00000000" w:rsidP="0027397C">
          <w:pPr>
            <w:widowControl w:val="0"/>
            <w:pBdr>
              <w:top w:val="nil"/>
              <w:left w:val="nil"/>
              <w:bottom w:val="nil"/>
              <w:right w:val="nil"/>
              <w:between w:val="nil"/>
            </w:pBdr>
            <w:spacing w:after="0" w:line="276" w:lineRule="auto"/>
            <w:ind w:left="0" w:firstLine="0"/>
            <w:rPr>
              <w:rFonts w:asciiTheme="majorHAnsi" w:hAnsiTheme="majorHAnsi" w:cstheme="majorHAnsi"/>
            </w:rPr>
          </w:pPr>
          <w:hyperlink w:anchor="_3znysh7">
            <w:r w:rsidR="007213CB" w:rsidRPr="00F32D0E">
              <w:rPr>
                <w:rFonts w:asciiTheme="majorHAnsi" w:eastAsia="Times New Roman" w:hAnsiTheme="majorHAnsi" w:cstheme="majorHAnsi"/>
                <w:color w:val="000000"/>
                <w:sz w:val="24"/>
                <w:szCs w:val="24"/>
              </w:rPr>
              <w:t>IV.</w:t>
            </w:r>
          </w:hyperlink>
          <w:r w:rsidR="007213CB" w:rsidRPr="00F32D0E">
            <w:rPr>
              <w:rFonts w:asciiTheme="majorHAnsi" w:eastAsia="Times New Roman" w:hAnsiTheme="majorHAnsi" w:cstheme="majorHAnsi"/>
              <w:color w:val="000000"/>
              <w:sz w:val="24"/>
              <w:szCs w:val="24"/>
            </w:rPr>
            <w:t xml:space="preserve">  Data Collection and Reporting Results ………………………………………………..</w:t>
          </w:r>
          <w:hyperlink w:anchor="_3znysh7">
            <w:r w:rsidR="007213CB" w:rsidRPr="00F32D0E">
              <w:rPr>
                <w:rFonts w:asciiTheme="majorHAnsi" w:hAnsiTheme="majorHAnsi" w:cstheme="majorHAnsi"/>
                <w:color w:val="000000"/>
              </w:rPr>
              <w:tab/>
            </w:r>
          </w:hyperlink>
          <w:r w:rsidR="00106CFA">
            <w:rPr>
              <w:rFonts w:asciiTheme="majorHAnsi" w:hAnsiTheme="majorHAnsi" w:cstheme="majorHAnsi"/>
              <w:color w:val="000000"/>
            </w:rPr>
            <w:t>……………</w:t>
          </w:r>
          <w:r w:rsidR="002330F3">
            <w:rPr>
              <w:rFonts w:asciiTheme="majorHAnsi" w:hAnsiTheme="majorHAnsi" w:cstheme="majorHAnsi"/>
              <w:color w:val="000000"/>
            </w:rPr>
            <w:t>………….</w:t>
          </w:r>
          <w:r w:rsidR="002A017D">
            <w:rPr>
              <w:rFonts w:asciiTheme="majorHAnsi" w:hAnsiTheme="majorHAnsi" w:cstheme="majorHAnsi"/>
            </w:rPr>
            <w:t>5</w:t>
          </w:r>
          <w:r w:rsidR="007213CB" w:rsidRPr="00F32D0E">
            <w:rPr>
              <w:rFonts w:asciiTheme="majorHAnsi" w:hAnsiTheme="majorHAnsi" w:cstheme="majorHAnsi"/>
            </w:rPr>
            <w:fldChar w:fldCharType="end"/>
          </w:r>
        </w:p>
        <w:p w14:paraId="6E765469" w14:textId="77777777" w:rsidR="00E922A9" w:rsidRDefault="00E922A9" w:rsidP="00D552CE">
          <w:pPr>
            <w:ind w:left="0" w:firstLine="0"/>
            <w:rPr>
              <w:rFonts w:asciiTheme="majorHAnsi" w:eastAsia="Times New Roman" w:hAnsiTheme="majorHAnsi" w:cstheme="majorHAnsi"/>
              <w:b/>
              <w:sz w:val="28"/>
              <w:szCs w:val="28"/>
            </w:rPr>
          </w:pPr>
        </w:p>
        <w:p w14:paraId="7E2CA241" w14:textId="423B7141" w:rsidR="00D552CE" w:rsidRPr="00F32D0E" w:rsidRDefault="00D552CE" w:rsidP="00D552CE">
          <w:pPr>
            <w:ind w:left="0" w:firstLine="0"/>
            <w:rPr>
              <w:rFonts w:asciiTheme="majorHAnsi" w:eastAsia="Times New Roman" w:hAnsiTheme="majorHAnsi" w:cstheme="majorHAnsi"/>
              <w:b/>
              <w:sz w:val="28"/>
              <w:szCs w:val="28"/>
            </w:rPr>
          </w:pPr>
          <w:r w:rsidRPr="00F32D0E">
            <w:rPr>
              <w:rFonts w:asciiTheme="majorHAnsi" w:eastAsia="Times New Roman" w:hAnsiTheme="majorHAnsi" w:cstheme="majorHAnsi"/>
              <w:b/>
              <w:sz w:val="28"/>
              <w:szCs w:val="28"/>
            </w:rPr>
            <w:t xml:space="preserve">List of </w:t>
          </w:r>
          <w:r w:rsidR="00310BF2">
            <w:rPr>
              <w:rFonts w:asciiTheme="majorHAnsi" w:eastAsia="Times New Roman" w:hAnsiTheme="majorHAnsi" w:cstheme="majorHAnsi"/>
              <w:b/>
              <w:sz w:val="28"/>
              <w:szCs w:val="28"/>
            </w:rPr>
            <w:t xml:space="preserve">Tables and </w:t>
          </w:r>
          <w:r w:rsidRPr="00F32D0E">
            <w:rPr>
              <w:rFonts w:asciiTheme="majorHAnsi" w:eastAsia="Times New Roman" w:hAnsiTheme="majorHAnsi" w:cstheme="majorHAnsi"/>
              <w:b/>
              <w:sz w:val="28"/>
              <w:szCs w:val="28"/>
            </w:rPr>
            <w:t>Figures</w:t>
          </w:r>
        </w:p>
        <w:p w14:paraId="0593FB10" w14:textId="79759A10" w:rsidR="00310BF2" w:rsidRDefault="00310BF2" w:rsidP="00310BF2">
          <w:pPr>
            <w:ind w:left="0" w:hanging="2"/>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Table 1:  Aggregate Summary of Reporting Results.</w:t>
          </w:r>
          <w:r w:rsidRPr="00F32D0E">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w:t>
          </w:r>
          <w:r w:rsidR="00FC5534">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 xml:space="preserve">6 </w:t>
          </w:r>
        </w:p>
        <w:p w14:paraId="115984F0" w14:textId="4F65E6AC" w:rsidR="00D552CE" w:rsidRPr="00F32D0E" w:rsidRDefault="00D552CE" w:rsidP="00D552CE">
          <w:pPr>
            <w:ind w:left="0" w:hanging="2"/>
            <w:rPr>
              <w:rFonts w:asciiTheme="majorHAnsi" w:eastAsia="Times New Roman" w:hAnsiTheme="majorHAnsi" w:cstheme="majorHAnsi"/>
              <w:color w:val="000000"/>
              <w:sz w:val="24"/>
              <w:szCs w:val="24"/>
            </w:rPr>
          </w:pPr>
          <w:r w:rsidRPr="00F32D0E">
            <w:rPr>
              <w:rFonts w:asciiTheme="majorHAnsi" w:eastAsia="Times New Roman" w:hAnsiTheme="majorHAnsi" w:cstheme="majorHAnsi"/>
              <w:color w:val="000000"/>
              <w:sz w:val="24"/>
              <w:szCs w:val="24"/>
            </w:rPr>
            <w:t xml:space="preserve">Figure 1:  Number of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pplications </w:t>
          </w:r>
          <w:r w:rsidR="00FE6D8F">
            <w:rPr>
              <w:rFonts w:asciiTheme="majorHAnsi" w:eastAsia="Times New Roman" w:hAnsiTheme="majorHAnsi" w:cstheme="majorHAnsi"/>
              <w:color w:val="000000"/>
              <w:sz w:val="24"/>
              <w:szCs w:val="24"/>
            </w:rPr>
            <w:t>R</w:t>
          </w:r>
          <w:r w:rsidRPr="00F32D0E">
            <w:rPr>
              <w:rFonts w:asciiTheme="majorHAnsi" w:eastAsia="Times New Roman" w:hAnsiTheme="majorHAnsi" w:cstheme="majorHAnsi"/>
              <w:color w:val="000000"/>
              <w:sz w:val="24"/>
              <w:szCs w:val="24"/>
            </w:rPr>
            <w:t xml:space="preserve">eceived </w:t>
          </w:r>
          <w:r w:rsidR="00FE6D8F">
            <w:rPr>
              <w:rFonts w:asciiTheme="majorHAnsi" w:eastAsia="Times New Roman" w:hAnsiTheme="majorHAnsi" w:cstheme="majorHAnsi"/>
              <w:color w:val="000000"/>
              <w:sz w:val="24"/>
              <w:szCs w:val="24"/>
            </w:rPr>
            <w:t>P</w:t>
          </w:r>
          <w:r w:rsidRPr="00F32D0E">
            <w:rPr>
              <w:rFonts w:asciiTheme="majorHAnsi" w:eastAsia="Times New Roman" w:hAnsiTheme="majorHAnsi" w:cstheme="majorHAnsi"/>
              <w:color w:val="000000"/>
              <w:sz w:val="24"/>
              <w:szCs w:val="24"/>
            </w:rPr>
            <w:t xml:space="preserve">er </w:t>
          </w:r>
          <w:r w:rsidR="00FE6D8F">
            <w:rPr>
              <w:rFonts w:asciiTheme="majorHAnsi" w:eastAsia="Times New Roman" w:hAnsiTheme="majorHAnsi" w:cstheme="majorHAnsi"/>
              <w:color w:val="000000"/>
              <w:sz w:val="24"/>
              <w:szCs w:val="24"/>
            </w:rPr>
            <w:t>Q</w:t>
          </w:r>
          <w:r w:rsidRPr="00F32D0E">
            <w:rPr>
              <w:rFonts w:asciiTheme="majorHAnsi" w:eastAsia="Times New Roman" w:hAnsiTheme="majorHAnsi" w:cstheme="majorHAnsi"/>
              <w:color w:val="000000"/>
              <w:sz w:val="24"/>
              <w:szCs w:val="24"/>
            </w:rPr>
            <w:t>uarter</w:t>
          </w:r>
          <w:r w:rsidR="00462582">
            <w:rPr>
              <w:rFonts w:asciiTheme="majorHAnsi" w:eastAsia="Times New Roman" w:hAnsiTheme="majorHAnsi" w:cstheme="majorHAnsi"/>
              <w:color w:val="000000"/>
              <w:sz w:val="24"/>
              <w:szCs w:val="24"/>
            </w:rPr>
            <w:t>.</w:t>
          </w:r>
          <w:r w:rsidRPr="00F32D0E">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w:t>
          </w:r>
          <w:r w:rsidR="00462582">
            <w:rPr>
              <w:rFonts w:asciiTheme="majorHAnsi" w:eastAsia="Times New Roman" w:hAnsiTheme="majorHAnsi" w:cstheme="majorHAnsi"/>
              <w:color w:val="000000"/>
              <w:sz w:val="24"/>
              <w:szCs w:val="24"/>
            </w:rPr>
            <w:t>.</w:t>
          </w:r>
          <w:r w:rsidR="00310BF2">
            <w:rPr>
              <w:rFonts w:asciiTheme="majorHAnsi" w:eastAsia="Times New Roman" w:hAnsiTheme="majorHAnsi" w:cstheme="majorHAnsi"/>
              <w:color w:val="000000"/>
              <w:sz w:val="24"/>
              <w:szCs w:val="24"/>
            </w:rPr>
            <w:t>7</w:t>
          </w:r>
        </w:p>
        <w:p w14:paraId="1D1B751D" w14:textId="77777777" w:rsidR="009E758A" w:rsidRDefault="00D552CE" w:rsidP="00FF05D4">
          <w:pPr>
            <w:spacing w:after="0"/>
            <w:ind w:left="0" w:hanging="2"/>
            <w:rPr>
              <w:rFonts w:asciiTheme="majorHAnsi" w:eastAsia="Times New Roman" w:hAnsiTheme="majorHAnsi" w:cstheme="majorHAnsi"/>
              <w:color w:val="000000"/>
              <w:sz w:val="24"/>
              <w:szCs w:val="24"/>
            </w:rPr>
          </w:pPr>
          <w:r w:rsidRPr="00F32D0E">
            <w:rPr>
              <w:rFonts w:asciiTheme="majorHAnsi" w:eastAsia="Times New Roman" w:hAnsiTheme="majorHAnsi" w:cstheme="majorHAnsi"/>
              <w:color w:val="000000"/>
              <w:sz w:val="24"/>
              <w:szCs w:val="24"/>
            </w:rPr>
            <w:t xml:space="preserve">Figure 2: </w:t>
          </w:r>
          <w:r w:rsidR="00B67062">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color w:val="000000"/>
              <w:sz w:val="24"/>
              <w:szCs w:val="24"/>
            </w:rPr>
            <w:t xml:space="preserve">Number </w:t>
          </w:r>
          <w:r w:rsidRPr="00F32D0E">
            <w:rPr>
              <w:rFonts w:asciiTheme="majorHAnsi" w:eastAsia="Times New Roman" w:hAnsiTheme="majorHAnsi" w:cstheme="majorHAnsi"/>
              <w:color w:val="000000"/>
              <w:sz w:val="24"/>
              <w:szCs w:val="24"/>
            </w:rPr>
            <w:t xml:space="preserve">of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pplications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pproved versus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verage</w:t>
          </w:r>
          <w:r w:rsidR="00FE6D8F">
            <w:rPr>
              <w:rFonts w:asciiTheme="majorHAnsi" w:eastAsia="Times New Roman" w:hAnsiTheme="majorHAnsi" w:cstheme="majorHAnsi"/>
              <w:color w:val="000000"/>
              <w:sz w:val="24"/>
              <w:szCs w:val="24"/>
            </w:rPr>
            <w:t xml:space="preserve"> Number of</w:t>
          </w:r>
          <w:r w:rsidRPr="00F32D0E">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D</w:t>
          </w:r>
          <w:r w:rsidRPr="00F32D0E">
            <w:rPr>
              <w:rFonts w:asciiTheme="majorHAnsi" w:eastAsia="Times New Roman" w:hAnsiTheme="majorHAnsi" w:cstheme="majorHAnsi"/>
              <w:color w:val="000000"/>
              <w:sz w:val="24"/>
              <w:szCs w:val="24"/>
            </w:rPr>
            <w:t>ays</w:t>
          </w:r>
          <w:r w:rsidR="00FE6D8F">
            <w:rPr>
              <w:rFonts w:asciiTheme="majorHAnsi" w:eastAsia="Times New Roman" w:hAnsiTheme="majorHAnsi" w:cstheme="majorHAnsi"/>
              <w:color w:val="000000"/>
              <w:sz w:val="24"/>
              <w:szCs w:val="24"/>
            </w:rPr>
            <w:t xml:space="preserve"> Applications</w:t>
          </w:r>
        </w:p>
        <w:p w14:paraId="073D9BEF" w14:textId="748ED7B5" w:rsidR="00D552CE" w:rsidRPr="00F32D0E" w:rsidRDefault="00D552CE" w:rsidP="00FF05D4">
          <w:pPr>
            <w:spacing w:after="0"/>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color w:val="000000"/>
              <w:sz w:val="24"/>
              <w:szCs w:val="24"/>
            </w:rPr>
            <w:t xml:space="preserve"> </w:t>
          </w:r>
          <w:r w:rsidR="009E758A">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P</w:t>
          </w:r>
          <w:r w:rsidRPr="00F32D0E">
            <w:rPr>
              <w:rFonts w:asciiTheme="majorHAnsi" w:eastAsia="Times New Roman" w:hAnsiTheme="majorHAnsi" w:cstheme="majorHAnsi"/>
              <w:color w:val="000000"/>
              <w:sz w:val="24"/>
              <w:szCs w:val="24"/>
            </w:rPr>
            <w:t xml:space="preserve">ending </w:t>
          </w:r>
          <w:r w:rsidR="00FE6D8F">
            <w:rPr>
              <w:rFonts w:asciiTheme="majorHAnsi" w:eastAsia="Times New Roman" w:hAnsiTheme="majorHAnsi" w:cstheme="majorHAnsi"/>
              <w:color w:val="000000"/>
              <w:sz w:val="24"/>
              <w:szCs w:val="24"/>
            </w:rPr>
            <w:t>Prior to</w:t>
          </w:r>
          <w:r>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pproval……………………………………………………………………………….…</w:t>
          </w:r>
          <w:r>
            <w:rPr>
              <w:rFonts w:asciiTheme="majorHAnsi" w:eastAsia="Times New Roman" w:hAnsiTheme="majorHAnsi" w:cstheme="majorHAnsi"/>
              <w:color w:val="000000"/>
              <w:sz w:val="24"/>
              <w:szCs w:val="24"/>
            </w:rPr>
            <w:t>7</w:t>
          </w:r>
        </w:p>
        <w:p w14:paraId="3B7BAFC4" w14:textId="77777777" w:rsidR="009E758A" w:rsidRDefault="009E758A" w:rsidP="0027397C">
          <w:pPr>
            <w:ind w:left="0" w:firstLine="0"/>
            <w:rPr>
              <w:rFonts w:asciiTheme="majorHAnsi" w:eastAsia="Times New Roman" w:hAnsiTheme="majorHAnsi" w:cstheme="majorHAnsi"/>
              <w:b/>
              <w:sz w:val="28"/>
              <w:szCs w:val="28"/>
            </w:rPr>
          </w:pPr>
        </w:p>
        <w:p w14:paraId="15EC2EFC" w14:textId="4D5E7357" w:rsidR="00226B14" w:rsidRPr="00F32D0E" w:rsidRDefault="00226B14" w:rsidP="0027397C">
          <w:pPr>
            <w:ind w:left="0" w:firstLine="0"/>
            <w:rPr>
              <w:rFonts w:asciiTheme="majorHAnsi" w:eastAsia="Times New Roman" w:hAnsiTheme="majorHAnsi" w:cstheme="majorHAnsi"/>
              <w:b/>
              <w:sz w:val="28"/>
              <w:szCs w:val="28"/>
            </w:rPr>
          </w:pPr>
          <w:r w:rsidRPr="00F32D0E">
            <w:rPr>
              <w:rFonts w:asciiTheme="majorHAnsi" w:eastAsia="Times New Roman" w:hAnsiTheme="majorHAnsi" w:cstheme="majorHAnsi"/>
              <w:b/>
              <w:sz w:val="28"/>
              <w:szCs w:val="28"/>
            </w:rPr>
            <w:t>List of Appendices</w:t>
          </w:r>
        </w:p>
        <w:p w14:paraId="09C68F30" w14:textId="4B94A4F7" w:rsidR="0027397C" w:rsidRPr="00F32D0E" w:rsidRDefault="0027397C" w:rsidP="0027397C">
          <w:pPr>
            <w:ind w:left="0" w:firstLine="0"/>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A:  Survey Questions………………………………………………………</w:t>
          </w:r>
          <w:r w:rsidR="00226B14" w:rsidRPr="00F32D0E">
            <w:rPr>
              <w:rFonts w:asciiTheme="majorHAnsi" w:eastAsia="Times New Roman" w:hAnsiTheme="majorHAnsi" w:cstheme="majorHAnsi"/>
              <w:sz w:val="24"/>
              <w:szCs w:val="24"/>
            </w:rPr>
            <w:t>…</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r w:rsidR="007371D2">
            <w:rPr>
              <w:rFonts w:asciiTheme="majorHAnsi" w:eastAsia="Times New Roman" w:hAnsiTheme="majorHAnsi" w:cstheme="majorHAnsi"/>
              <w:sz w:val="24"/>
              <w:szCs w:val="24"/>
            </w:rPr>
            <w:t>…</w:t>
          </w:r>
          <w:r w:rsidR="00FC5534">
            <w:rPr>
              <w:rFonts w:asciiTheme="majorHAnsi" w:eastAsia="Times New Roman" w:hAnsiTheme="majorHAnsi" w:cstheme="majorHAnsi"/>
              <w:sz w:val="24"/>
              <w:szCs w:val="24"/>
            </w:rPr>
            <w:t>10</w:t>
          </w:r>
        </w:p>
        <w:p w14:paraId="216FDAEA" w14:textId="208975FE" w:rsidR="0027397C" w:rsidRPr="00F32D0E" w:rsidRDefault="0027397C" w:rsidP="0027397C">
          <w:pPr>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B:  Federal Property Managing Agencies Surveyed…………………………</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r w:rsidR="007371D2">
            <w:rPr>
              <w:rFonts w:asciiTheme="majorHAnsi" w:eastAsia="Times New Roman" w:hAnsiTheme="majorHAnsi" w:cstheme="majorHAnsi"/>
              <w:sz w:val="24"/>
              <w:szCs w:val="24"/>
            </w:rPr>
            <w:t>….</w:t>
          </w:r>
          <w:r w:rsidR="00333C0A">
            <w:rPr>
              <w:rFonts w:asciiTheme="majorHAnsi" w:eastAsia="Times New Roman" w:hAnsiTheme="majorHAnsi" w:cstheme="majorHAnsi"/>
              <w:sz w:val="24"/>
              <w:szCs w:val="24"/>
            </w:rPr>
            <w:t>.</w:t>
          </w:r>
          <w:r w:rsidRPr="00F32D0E">
            <w:rPr>
              <w:rFonts w:asciiTheme="majorHAnsi" w:eastAsia="Times New Roman" w:hAnsiTheme="majorHAnsi" w:cstheme="majorHAnsi"/>
              <w:sz w:val="24"/>
              <w:szCs w:val="24"/>
            </w:rPr>
            <w:t>1</w:t>
          </w:r>
          <w:r w:rsidR="00FC5534">
            <w:rPr>
              <w:rFonts w:asciiTheme="majorHAnsi" w:eastAsia="Times New Roman" w:hAnsiTheme="majorHAnsi" w:cstheme="majorHAnsi"/>
              <w:sz w:val="24"/>
              <w:szCs w:val="24"/>
            </w:rPr>
            <w:t>1</w:t>
          </w:r>
        </w:p>
        <w:p w14:paraId="5B2DF881" w14:textId="341185D2" w:rsidR="0027397C" w:rsidRPr="00F32D0E" w:rsidRDefault="0027397C" w:rsidP="0027397C">
          <w:pPr>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C:  Agencies That Processed Permit Applications</w:t>
          </w:r>
          <w:r w:rsidR="00226B14" w:rsidRPr="00F32D0E">
            <w:rPr>
              <w:rFonts w:asciiTheme="majorHAnsi" w:eastAsia="Times New Roman" w:hAnsiTheme="majorHAnsi" w:cstheme="majorHAnsi"/>
              <w:sz w:val="24"/>
              <w:szCs w:val="24"/>
            </w:rPr>
            <w:t xml:space="preserve"> ……………………………</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r w:rsidR="00B67062">
            <w:rPr>
              <w:rFonts w:asciiTheme="majorHAnsi" w:eastAsia="Times New Roman" w:hAnsiTheme="majorHAnsi" w:cstheme="majorHAnsi"/>
              <w:sz w:val="24"/>
              <w:szCs w:val="24"/>
            </w:rPr>
            <w:t>.</w:t>
          </w:r>
          <w:r w:rsidR="00226B14" w:rsidRPr="00F32D0E">
            <w:rPr>
              <w:rFonts w:asciiTheme="majorHAnsi" w:eastAsia="Times New Roman" w:hAnsiTheme="majorHAnsi" w:cstheme="majorHAnsi"/>
              <w:sz w:val="24"/>
              <w:szCs w:val="24"/>
            </w:rPr>
            <w:t>1</w:t>
          </w:r>
          <w:r w:rsidR="00F677C9">
            <w:rPr>
              <w:rFonts w:asciiTheme="majorHAnsi" w:eastAsia="Times New Roman" w:hAnsiTheme="majorHAnsi" w:cstheme="majorHAnsi"/>
              <w:sz w:val="24"/>
              <w:szCs w:val="24"/>
            </w:rPr>
            <w:t>3</w:t>
          </w:r>
        </w:p>
        <w:p w14:paraId="188238CA" w14:textId="7F865B04" w:rsidR="00B34815" w:rsidRPr="00F32D0E" w:rsidRDefault="00000000" w:rsidP="0027397C">
          <w:pPr>
            <w:widowControl w:val="0"/>
            <w:pBdr>
              <w:top w:val="nil"/>
              <w:left w:val="nil"/>
              <w:bottom w:val="nil"/>
              <w:right w:val="nil"/>
              <w:between w:val="nil"/>
            </w:pBdr>
            <w:spacing w:after="0" w:line="276" w:lineRule="auto"/>
            <w:ind w:left="0" w:firstLine="0"/>
            <w:rPr>
              <w:rFonts w:asciiTheme="majorHAnsi" w:hAnsiTheme="majorHAnsi" w:cstheme="majorHAnsi"/>
            </w:rPr>
          </w:pPr>
        </w:p>
      </w:sdtContent>
    </w:sdt>
    <w:p w14:paraId="52450363" w14:textId="17A5DE13" w:rsidR="0027397C" w:rsidRPr="00F32D0E" w:rsidRDefault="0027397C">
      <w:pPr>
        <w:ind w:left="0" w:hanging="2"/>
        <w:rPr>
          <w:rFonts w:asciiTheme="majorHAnsi" w:eastAsia="Times New Roman" w:hAnsiTheme="majorHAnsi" w:cstheme="majorHAnsi"/>
          <w:color w:val="000000"/>
          <w:sz w:val="24"/>
          <w:szCs w:val="24"/>
        </w:rPr>
      </w:pPr>
      <w:bookmarkStart w:id="0" w:name="_gjdgxs" w:colFirst="0" w:colLast="0"/>
      <w:bookmarkEnd w:id="0"/>
    </w:p>
    <w:p w14:paraId="75FCDDBA" w14:textId="41AB8062" w:rsidR="00226B14" w:rsidRPr="00F32D0E" w:rsidRDefault="00226B14">
      <w:pPr>
        <w:ind w:left="0" w:hanging="2"/>
        <w:rPr>
          <w:rFonts w:asciiTheme="majorHAnsi" w:eastAsia="Times New Roman" w:hAnsiTheme="majorHAnsi" w:cstheme="majorHAnsi"/>
          <w:color w:val="000000"/>
          <w:sz w:val="24"/>
          <w:szCs w:val="24"/>
        </w:rPr>
      </w:pPr>
    </w:p>
    <w:p w14:paraId="5B78F4A0" w14:textId="77777777" w:rsidR="0027397C" w:rsidRPr="00F32D0E" w:rsidRDefault="0027397C">
      <w:pPr>
        <w:ind w:left="0" w:hanging="2"/>
        <w:rPr>
          <w:rFonts w:asciiTheme="majorHAnsi" w:eastAsia="Times New Roman" w:hAnsiTheme="majorHAnsi" w:cstheme="majorHAnsi"/>
          <w:sz w:val="24"/>
          <w:szCs w:val="24"/>
        </w:rPr>
      </w:pPr>
    </w:p>
    <w:p w14:paraId="6F239862" w14:textId="3FEA6BB1" w:rsidR="00B34815" w:rsidRPr="00D552CE" w:rsidRDefault="007213CB" w:rsidP="00D552CE">
      <w:pPr>
        <w:pStyle w:val="Heading1"/>
        <w:numPr>
          <w:ilvl w:val="0"/>
          <w:numId w:val="4"/>
        </w:numPr>
        <w:spacing w:before="240"/>
        <w:ind w:left="1" w:hanging="3"/>
        <w:rPr>
          <w:rFonts w:asciiTheme="majorHAnsi" w:hAnsiTheme="majorHAnsi" w:cstheme="majorHAnsi"/>
        </w:rPr>
      </w:pPr>
      <w:bookmarkStart w:id="1" w:name="_30j0zll" w:colFirst="0" w:colLast="0"/>
      <w:bookmarkEnd w:id="1"/>
      <w:r w:rsidRPr="00F32D0E">
        <w:rPr>
          <w:rFonts w:asciiTheme="majorHAnsi" w:hAnsiTheme="majorHAnsi" w:cstheme="majorHAnsi"/>
        </w:rPr>
        <w:br w:type="page"/>
      </w:r>
      <w:r w:rsidRPr="00D552CE">
        <w:rPr>
          <w:rFonts w:asciiTheme="majorHAnsi" w:hAnsiTheme="majorHAnsi" w:cstheme="majorHAnsi"/>
        </w:rPr>
        <w:lastRenderedPageBreak/>
        <w:t xml:space="preserve">Executive Summary </w:t>
      </w:r>
    </w:p>
    <w:p w14:paraId="0A9F1E91" w14:textId="5E284D7A" w:rsidR="009F4E0C" w:rsidRDefault="007213CB" w:rsidP="008A1210">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The U.S. General Services Administration (GSA) is submitting this quarterly report to the Office of Management and Budget (OMB) per the requirements of Executive Order (E.O.) 13821, “Streamlining and Expediting Requests to Locate Broadband Facilities in Rural America.”  Pursuant to subsection 2(e) of E.O. 13821, this report provides an aggregated summary of the revised </w:t>
      </w:r>
      <w:r w:rsidR="008A1210">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SF-299 application data submitted to GSA by the Federal property managing agencies during the </w:t>
      </w:r>
      <w:r w:rsidR="00422DB2">
        <w:rPr>
          <w:rFonts w:ascii="Calibri Light" w:eastAsia="Times New Roman" w:hAnsi="Calibri Light" w:cs="Calibri Light"/>
          <w:sz w:val="24"/>
          <w:szCs w:val="24"/>
        </w:rPr>
        <w:t>fourth</w:t>
      </w:r>
      <w:r w:rsidRPr="003F58EE">
        <w:rPr>
          <w:rFonts w:ascii="Calibri Light" w:eastAsia="Times New Roman" w:hAnsi="Calibri Light" w:cs="Calibri Light"/>
          <w:sz w:val="24"/>
          <w:szCs w:val="24"/>
        </w:rPr>
        <w:t xml:space="preserve"> quarter</w:t>
      </w:r>
      <w:r w:rsidR="00FE6D8F">
        <w:rPr>
          <w:rFonts w:ascii="Calibri Light" w:eastAsia="Times New Roman" w:hAnsi="Calibri Light" w:cs="Calibri Light"/>
          <w:sz w:val="24"/>
          <w:szCs w:val="24"/>
        </w:rPr>
        <w:t xml:space="preserve"> (Q</w:t>
      </w:r>
      <w:r w:rsidR="00422DB2">
        <w:rPr>
          <w:rFonts w:ascii="Calibri Light" w:eastAsia="Times New Roman" w:hAnsi="Calibri Light" w:cs="Calibri Light"/>
          <w:sz w:val="24"/>
          <w:szCs w:val="24"/>
        </w:rPr>
        <w:t>4</w:t>
      </w:r>
      <w:r w:rsidR="00FE6D8F">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of </w:t>
      </w:r>
      <w:r w:rsidR="001C177E">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iscal </w:t>
      </w:r>
      <w:r w:rsidR="001C177E">
        <w:rPr>
          <w:rFonts w:ascii="Calibri Light" w:eastAsia="Times New Roman" w:hAnsi="Calibri Light" w:cs="Calibri Light"/>
          <w:sz w:val="24"/>
          <w:szCs w:val="24"/>
        </w:rPr>
        <w:t>y</w:t>
      </w:r>
      <w:r w:rsidRPr="003F58EE">
        <w:rPr>
          <w:rFonts w:ascii="Calibri Light" w:eastAsia="Times New Roman" w:hAnsi="Calibri Light" w:cs="Calibri Light"/>
          <w:sz w:val="24"/>
          <w:szCs w:val="24"/>
        </w:rPr>
        <w:t xml:space="preserve">ear (FY) </w:t>
      </w:r>
      <w:r w:rsidR="00985B19">
        <w:rPr>
          <w:rFonts w:ascii="Calibri Light" w:eastAsia="Times New Roman" w:hAnsi="Calibri Light" w:cs="Calibri Light"/>
          <w:sz w:val="24"/>
          <w:szCs w:val="24"/>
        </w:rPr>
        <w:t>20</w:t>
      </w:r>
      <w:r w:rsidRPr="003F58EE">
        <w:rPr>
          <w:rFonts w:ascii="Calibri Light" w:eastAsia="Times New Roman" w:hAnsi="Calibri Light" w:cs="Calibri Light"/>
          <w:sz w:val="24"/>
          <w:szCs w:val="24"/>
        </w:rPr>
        <w:t>2</w:t>
      </w:r>
      <w:r w:rsidR="00623AC7">
        <w:rPr>
          <w:rFonts w:ascii="Calibri Light" w:eastAsia="Times New Roman" w:hAnsi="Calibri Light" w:cs="Calibri Light"/>
          <w:sz w:val="24"/>
          <w:szCs w:val="24"/>
        </w:rPr>
        <w:t>2</w:t>
      </w:r>
      <w:r w:rsidRPr="003F58EE">
        <w:rPr>
          <w:rFonts w:ascii="Calibri Light" w:eastAsia="Times New Roman" w:hAnsi="Calibri Light" w:cs="Calibri Light"/>
          <w:sz w:val="24"/>
          <w:szCs w:val="24"/>
        </w:rPr>
        <w:t xml:space="preserve">.  The aggregated summary of results includes data on the number of revised SF-299 applications received by each Federal property managing agency for wireless facility siting permits, the number and percentage of applications approved, the number and percentage rejected, the basis for any rejection, and the number of working days each application was pending before being approved or rejected. </w:t>
      </w:r>
    </w:p>
    <w:p w14:paraId="250EA610" w14:textId="77777777" w:rsidR="009F4E0C" w:rsidRPr="003F58EE" w:rsidRDefault="009F4E0C">
      <w:pPr>
        <w:ind w:left="0" w:hanging="2"/>
        <w:jc w:val="both"/>
        <w:rPr>
          <w:rFonts w:ascii="Calibri Light" w:eastAsia="Times New Roman" w:hAnsi="Calibri Light" w:cs="Calibri Light"/>
          <w:sz w:val="24"/>
          <w:szCs w:val="24"/>
        </w:rPr>
      </w:pPr>
    </w:p>
    <w:p w14:paraId="00A9AF3F" w14:textId="77777777" w:rsidR="00B34815" w:rsidRPr="00F32D0E" w:rsidRDefault="007213CB">
      <w:pPr>
        <w:pStyle w:val="Heading1"/>
        <w:numPr>
          <w:ilvl w:val="0"/>
          <w:numId w:val="4"/>
        </w:numPr>
        <w:spacing w:before="240"/>
        <w:ind w:left="1" w:hanging="3"/>
        <w:rPr>
          <w:rFonts w:asciiTheme="majorHAnsi" w:hAnsiTheme="majorHAnsi" w:cstheme="majorHAnsi"/>
        </w:rPr>
      </w:pPr>
      <w:r w:rsidRPr="00F32D0E">
        <w:rPr>
          <w:rFonts w:asciiTheme="majorHAnsi" w:hAnsiTheme="majorHAnsi" w:cstheme="majorHAnsi"/>
        </w:rPr>
        <w:t xml:space="preserve">Background </w:t>
      </w:r>
    </w:p>
    <w:p w14:paraId="08B4A41C" w14:textId="4B888149"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On January 8, 2018, the President issued E.O. 13821, “Streamlining and Expediting Requests to Locate Broadband Facilities in Rural America,” to accelerate the deployment and adoption of broadband connectivity in rural America and enable sustainable rural broadband infrastructure projects. </w:t>
      </w:r>
      <w:r w:rsidR="001C177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The order directs Federal property managing agencies</w:t>
      </w:r>
      <w:r w:rsidRPr="003F58EE">
        <w:rPr>
          <w:rFonts w:ascii="Calibri Light" w:eastAsia="Times New Roman" w:hAnsi="Calibri Light" w:cs="Calibri Light"/>
          <w:sz w:val="24"/>
          <w:szCs w:val="24"/>
          <w:vertAlign w:val="superscript"/>
        </w:rPr>
        <w:footnoteReference w:id="1"/>
      </w:r>
      <w:r w:rsidRPr="003F58EE">
        <w:rPr>
          <w:rFonts w:ascii="Calibri Light" w:eastAsia="Times New Roman" w:hAnsi="Calibri Light" w:cs="Calibri Light"/>
          <w:sz w:val="24"/>
          <w:szCs w:val="24"/>
        </w:rPr>
        <w:t xml:space="preserve"> to: </w:t>
      </w:r>
    </w:p>
    <w:p w14:paraId="15087DB3" w14:textId="38E36BBE"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seek to reduce barriers to capital </w:t>
      </w:r>
      <w:r w:rsidR="00F32D0E" w:rsidRPr="003F58EE">
        <w:rPr>
          <w:rFonts w:ascii="Calibri Light" w:eastAsia="Times New Roman" w:hAnsi="Calibri Light" w:cs="Calibri Light"/>
          <w:color w:val="000000"/>
          <w:sz w:val="24"/>
          <w:szCs w:val="24"/>
        </w:rPr>
        <w:t>investment</w:t>
      </w:r>
      <w:r w:rsidR="00E922A9" w:rsidRPr="003F58EE">
        <w:rPr>
          <w:rFonts w:ascii="Calibri Light" w:eastAsia="Times New Roman" w:hAnsi="Calibri Light" w:cs="Calibri Light"/>
          <w:color w:val="000000"/>
          <w:sz w:val="24"/>
          <w:szCs w:val="24"/>
        </w:rPr>
        <w:t>;</w:t>
      </w:r>
    </w:p>
    <w:p w14:paraId="01CAEB80" w14:textId="02748B3E"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remove obstacles to broadband </w:t>
      </w:r>
      <w:r w:rsidR="00F32D0E" w:rsidRPr="003F58EE">
        <w:rPr>
          <w:rFonts w:ascii="Calibri Light" w:eastAsia="Times New Roman" w:hAnsi="Calibri Light" w:cs="Calibri Light"/>
          <w:color w:val="000000"/>
          <w:sz w:val="24"/>
          <w:szCs w:val="24"/>
        </w:rPr>
        <w:t>services</w:t>
      </w:r>
      <w:r w:rsidR="00E922A9" w:rsidRPr="003F58EE">
        <w:rPr>
          <w:rFonts w:ascii="Calibri Light" w:eastAsia="Times New Roman" w:hAnsi="Calibri Light" w:cs="Calibri Light"/>
          <w:color w:val="000000"/>
          <w:sz w:val="24"/>
          <w:szCs w:val="24"/>
        </w:rPr>
        <w:t>;</w:t>
      </w:r>
    </w:p>
    <w:p w14:paraId="60B93074" w14:textId="77777777"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use the GSA Common Form Application, as revised, if necessary, to evaluate requests to locate broadband facilities on Federal property; and </w:t>
      </w:r>
    </w:p>
    <w:p w14:paraId="3B84B503" w14:textId="77777777"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bookmarkStart w:id="2" w:name="_1fob9te" w:colFirst="0" w:colLast="0"/>
      <w:bookmarkEnd w:id="2"/>
      <w:r w:rsidRPr="003F58EE">
        <w:rPr>
          <w:rFonts w:ascii="Calibri Light" w:eastAsia="Times New Roman" w:hAnsi="Calibri Light" w:cs="Calibri Light"/>
          <w:color w:val="000000"/>
          <w:sz w:val="24"/>
          <w:szCs w:val="24"/>
        </w:rPr>
        <w:t>report to GSA on a quarterly basis regarding their use of the Common Form Application.</w:t>
      </w:r>
    </w:p>
    <w:p w14:paraId="6D21053C" w14:textId="77777777" w:rsidR="00B34815" w:rsidRPr="003F58EE" w:rsidRDefault="00B34815">
      <w:pPr>
        <w:pBdr>
          <w:top w:val="nil"/>
          <w:left w:val="nil"/>
          <w:bottom w:val="nil"/>
          <w:right w:val="nil"/>
          <w:between w:val="nil"/>
        </w:pBdr>
        <w:spacing w:after="0"/>
        <w:ind w:left="0" w:firstLine="0"/>
        <w:jc w:val="both"/>
        <w:rPr>
          <w:rFonts w:ascii="Calibri Light" w:eastAsia="Times New Roman" w:hAnsi="Calibri Light" w:cs="Calibri Light"/>
          <w:color w:val="000000"/>
          <w:sz w:val="24"/>
          <w:szCs w:val="24"/>
        </w:rPr>
      </w:pPr>
    </w:p>
    <w:p w14:paraId="26D2C423" w14:textId="184C9695" w:rsidR="00B34815"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Section 6409 of the </w:t>
      </w:r>
      <w:r w:rsidR="00CA0EBF" w:rsidRPr="003F58EE">
        <w:rPr>
          <w:rFonts w:ascii="Calibri Light" w:eastAsia="Times New Roman" w:hAnsi="Calibri Light" w:cs="Calibri Light"/>
          <w:sz w:val="24"/>
          <w:szCs w:val="24"/>
        </w:rPr>
        <w:t>Middle</w:t>
      </w:r>
      <w:r w:rsidR="00CA0EBF">
        <w:rPr>
          <w:rFonts w:ascii="Calibri Light" w:eastAsia="Times New Roman" w:hAnsi="Calibri Light" w:cs="Calibri Light"/>
          <w:sz w:val="24"/>
          <w:szCs w:val="24"/>
        </w:rPr>
        <w:t>-Class</w:t>
      </w:r>
      <w:r w:rsidRPr="003F58EE">
        <w:rPr>
          <w:rFonts w:ascii="Calibri Light" w:eastAsia="Times New Roman" w:hAnsi="Calibri Light" w:cs="Calibri Light"/>
          <w:sz w:val="24"/>
          <w:szCs w:val="24"/>
        </w:rPr>
        <w:t xml:space="preserve"> Tax Relief and Job Creation Act of 2012 (Public Law</w:t>
      </w:r>
      <w:r w:rsidR="001C177E">
        <w:rPr>
          <w:rFonts w:ascii="Calibri Light" w:eastAsia="Times New Roman" w:hAnsi="Calibri Light" w:cs="Calibri Light"/>
          <w:sz w:val="24"/>
          <w:szCs w:val="24"/>
        </w:rPr>
        <w:t xml:space="preserve"> No.</w:t>
      </w:r>
      <w:r w:rsidRPr="003F58EE">
        <w:rPr>
          <w:rFonts w:ascii="Calibri Light" w:eastAsia="Times New Roman" w:hAnsi="Calibri Light" w:cs="Calibri Light"/>
          <w:sz w:val="24"/>
          <w:szCs w:val="24"/>
        </w:rPr>
        <w:t xml:space="preserve"> 112-96) requires, among other things, that GSA develop a common form and master contract for siting wireless infrastructure on buildings and other property owned by the Federal Government.  </w:t>
      </w:r>
      <w:r w:rsidR="008A1210">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E.O. 13821 expands on section 6409 in several ways, including the requirement for GSA and Federal property managing agencies to report quarterly on the number of Common Form Applications received, the number and percentage approved, the number and percentage rejected, the basis for any rejection, and the number of working days each application was pending before being approved or rejected.</w:t>
      </w:r>
    </w:p>
    <w:p w14:paraId="3222B11D" w14:textId="77777777" w:rsidR="008A1210" w:rsidRPr="008A1210" w:rsidRDefault="008A1210" w:rsidP="008A1210">
      <w:pPr>
        <w:pBdr>
          <w:top w:val="nil"/>
          <w:left w:val="nil"/>
          <w:bottom w:val="nil"/>
          <w:right w:val="nil"/>
          <w:between w:val="nil"/>
        </w:pBdr>
        <w:spacing w:after="0"/>
        <w:ind w:left="0" w:firstLine="0"/>
        <w:jc w:val="both"/>
        <w:rPr>
          <w:color w:val="000000"/>
          <w:sz w:val="24"/>
          <w:szCs w:val="24"/>
        </w:rPr>
      </w:pPr>
    </w:p>
    <w:p w14:paraId="6301DF33" w14:textId="77777777" w:rsidR="008A1210" w:rsidRPr="003F58EE" w:rsidRDefault="008A1210" w:rsidP="00FF05D4">
      <w:pPr>
        <w:ind w:left="0" w:firstLine="0"/>
        <w:jc w:val="both"/>
        <w:rPr>
          <w:rFonts w:ascii="Calibri Light" w:eastAsia="Times New Roman" w:hAnsi="Calibri Light" w:cs="Calibri Light"/>
          <w:sz w:val="24"/>
          <w:szCs w:val="24"/>
        </w:rPr>
      </w:pPr>
    </w:p>
    <w:p w14:paraId="7EBB3792" w14:textId="77777777" w:rsidR="00B34815" w:rsidRPr="00F32D0E" w:rsidRDefault="007213CB">
      <w:pPr>
        <w:pStyle w:val="Heading1"/>
        <w:keepNext/>
        <w:numPr>
          <w:ilvl w:val="0"/>
          <w:numId w:val="4"/>
        </w:numPr>
        <w:spacing w:before="240"/>
        <w:ind w:left="1" w:hanging="3"/>
        <w:jc w:val="both"/>
        <w:rPr>
          <w:rFonts w:asciiTheme="majorHAnsi" w:hAnsiTheme="majorHAnsi" w:cstheme="majorHAnsi"/>
        </w:rPr>
      </w:pPr>
      <w:r w:rsidRPr="00F32D0E">
        <w:rPr>
          <w:rFonts w:asciiTheme="majorHAnsi" w:hAnsiTheme="majorHAnsi" w:cstheme="majorHAnsi"/>
        </w:rPr>
        <w:lastRenderedPageBreak/>
        <w:t xml:space="preserve">GSA Reporting Requirements under Executive Order 13821 </w:t>
      </w:r>
    </w:p>
    <w:p w14:paraId="6F4FD977" w14:textId="77777777"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Subsections 2(d) and (e) of E.O. 13821 require the following: </w:t>
      </w:r>
    </w:p>
    <w:p w14:paraId="6556AD21" w14:textId="514F808C" w:rsidR="00B34815" w:rsidRPr="003F58EE" w:rsidRDefault="007213CB">
      <w:pPr>
        <w:numPr>
          <w:ilvl w:val="0"/>
          <w:numId w:val="1"/>
        </w:numPr>
        <w:pBdr>
          <w:top w:val="nil"/>
          <w:left w:val="nil"/>
          <w:bottom w:val="nil"/>
          <w:right w:val="nil"/>
          <w:between w:val="nil"/>
        </w:pBdr>
        <w:spacing w:after="0"/>
        <w:ind w:left="0" w:firstLine="360"/>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Within 180 days of the date of the order, and on a quarterly basis thereafter, all Federal property managing agencies must report to GSA regarding their required use of the Common Form Application, the number of Common Form Applications received, the </w:t>
      </w:r>
      <w:r w:rsidRPr="003F58EE">
        <w:rPr>
          <w:rFonts w:ascii="Calibri Light" w:eastAsia="Times New Roman" w:hAnsi="Calibri Light" w:cs="Calibri Light"/>
          <w:sz w:val="24"/>
          <w:szCs w:val="24"/>
        </w:rPr>
        <w:t>number and percentage</w:t>
      </w:r>
      <w:r w:rsidRPr="003F58EE">
        <w:rPr>
          <w:rFonts w:ascii="Calibri Light" w:eastAsia="Times New Roman" w:hAnsi="Calibri Light" w:cs="Calibri Light"/>
          <w:color w:val="000000"/>
          <w:sz w:val="24"/>
          <w:szCs w:val="24"/>
        </w:rPr>
        <w:t xml:space="preserve"> approved, the </w:t>
      </w:r>
      <w:r w:rsidRPr="003F58EE">
        <w:rPr>
          <w:rFonts w:ascii="Calibri Light" w:eastAsia="Times New Roman" w:hAnsi="Calibri Light" w:cs="Calibri Light"/>
          <w:sz w:val="24"/>
          <w:szCs w:val="24"/>
        </w:rPr>
        <w:t>number and percentage</w:t>
      </w:r>
      <w:r w:rsidRPr="003F58EE">
        <w:rPr>
          <w:rFonts w:ascii="Calibri Light" w:eastAsia="Times New Roman" w:hAnsi="Calibri Light" w:cs="Calibri Light"/>
          <w:color w:val="000000"/>
          <w:sz w:val="24"/>
          <w:szCs w:val="24"/>
        </w:rPr>
        <w:t xml:space="preserve"> rejected, the basis for any rejection, and the number of working days each application was pending before being approved or rejected. </w:t>
      </w:r>
      <w:r w:rsidR="001C177E">
        <w:rPr>
          <w:rFonts w:ascii="Calibri Light" w:eastAsia="Times New Roman" w:hAnsi="Calibri Light" w:cs="Calibri Light"/>
          <w:color w:val="000000"/>
          <w:sz w:val="24"/>
          <w:szCs w:val="24"/>
        </w:rPr>
        <w:t xml:space="preserve"> </w:t>
      </w:r>
      <w:r w:rsidRPr="003F58EE">
        <w:rPr>
          <w:rFonts w:ascii="Calibri Light" w:eastAsia="Times New Roman" w:hAnsi="Calibri Light" w:cs="Calibri Light"/>
          <w:color w:val="000000"/>
          <w:sz w:val="24"/>
          <w:szCs w:val="24"/>
        </w:rPr>
        <w:t>Each report must include the number of applications received, approved, and rejected within the preceding quarter; and</w:t>
      </w:r>
    </w:p>
    <w:p w14:paraId="493CB16A" w14:textId="77777777" w:rsidR="00B34815" w:rsidRPr="003F58EE" w:rsidRDefault="00B34815">
      <w:pPr>
        <w:pBdr>
          <w:top w:val="nil"/>
          <w:left w:val="nil"/>
          <w:bottom w:val="nil"/>
          <w:right w:val="nil"/>
          <w:between w:val="nil"/>
        </w:pBdr>
        <w:spacing w:after="0"/>
        <w:ind w:left="360" w:firstLine="0"/>
        <w:jc w:val="both"/>
        <w:rPr>
          <w:rFonts w:ascii="Calibri Light" w:eastAsia="Times New Roman" w:hAnsi="Calibri Light" w:cs="Calibri Light"/>
          <w:color w:val="000000"/>
          <w:sz w:val="24"/>
          <w:szCs w:val="24"/>
        </w:rPr>
      </w:pPr>
    </w:p>
    <w:p w14:paraId="386F14F6" w14:textId="77777777" w:rsidR="00B34815" w:rsidRPr="003F58EE" w:rsidRDefault="007213CB">
      <w:pPr>
        <w:numPr>
          <w:ilvl w:val="0"/>
          <w:numId w:val="1"/>
        </w:numPr>
        <w:pBdr>
          <w:top w:val="nil"/>
          <w:left w:val="nil"/>
          <w:bottom w:val="nil"/>
          <w:right w:val="nil"/>
          <w:between w:val="nil"/>
        </w:pBdr>
        <w:spacing w:after="0"/>
        <w:ind w:left="0" w:firstLine="360"/>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Ninety days after the date of the order, and on a quarterly basis thereafter, GSA must prepare and provide to the Director of OMB an aggregated summary report detailing results from the reports submitted under subsection 2(d</w:t>
      </w:r>
      <w:r w:rsidRPr="003F58EE">
        <w:rPr>
          <w:rFonts w:ascii="Calibri Light" w:eastAsia="Times New Roman" w:hAnsi="Calibri Light" w:cs="Calibri Light"/>
          <w:sz w:val="24"/>
          <w:szCs w:val="24"/>
        </w:rPr>
        <w:t>).</w:t>
      </w:r>
    </w:p>
    <w:p w14:paraId="1883F8F6"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9F2B5CF" w14:textId="7A9CCD30"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sz w:val="24"/>
          <w:szCs w:val="24"/>
        </w:rPr>
      </w:pPr>
      <w:bookmarkStart w:id="3" w:name="_3znysh7" w:colFirst="0" w:colLast="0"/>
      <w:bookmarkEnd w:id="3"/>
      <w:r w:rsidRPr="003F58EE">
        <w:rPr>
          <w:rFonts w:ascii="Calibri Light" w:eastAsia="Times New Roman" w:hAnsi="Calibri Light" w:cs="Calibri Light"/>
          <w:sz w:val="24"/>
          <w:szCs w:val="24"/>
        </w:rPr>
        <w:t xml:space="preserve">Pursuant to subsection 2(e) of the order, this report summarizes the results of the data submitted to GSA by the Federal property managing agencies under subsection </w:t>
      </w:r>
      <w:r w:rsidR="00F32D0E" w:rsidRPr="003F58EE">
        <w:rPr>
          <w:rFonts w:ascii="Calibri Light" w:eastAsia="Times New Roman" w:hAnsi="Calibri Light" w:cs="Calibri Light"/>
          <w:sz w:val="24"/>
          <w:szCs w:val="24"/>
        </w:rPr>
        <w:t>2(d) and</w:t>
      </w:r>
      <w:r w:rsidRPr="003F58EE">
        <w:rPr>
          <w:rFonts w:ascii="Calibri Light" w:eastAsia="Times New Roman" w:hAnsi="Calibri Light" w:cs="Calibri Light"/>
          <w:sz w:val="24"/>
          <w:szCs w:val="24"/>
        </w:rPr>
        <w:t xml:space="preserve"> includes an aggregated summary of the number of Common Form Applications received, the number and percentage approved, the number and percentage rejected, the basis for any rejection, and the number of working days each application was pending before being approved or rejected. </w:t>
      </w:r>
    </w:p>
    <w:p w14:paraId="0F3581C5" w14:textId="50F755EF"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sz w:val="24"/>
          <w:szCs w:val="24"/>
        </w:rPr>
        <w:t xml:space="preserve"> </w:t>
      </w:r>
    </w:p>
    <w:p w14:paraId="12C0258E" w14:textId="3C592D57" w:rsidR="00B34815"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In collecting and summarizing the Common Form Application data, GSA counted agency use of either the Common Form Application or the SF-299, “Application for Transportation and Utilities Systems and Facilities on Federal Lands.”  The SF-299 is required for use by all agencies for easements and rights-of-way; however, in conversations with other land management agencies, GSA discovered that many agencies were also using the SF-299 as their application for antenna installations.  GSA discussed this point with the Executive Office of the President at a meeting in January 2018, where it was agreed that the SF-299, rather than the Common Form Application, should be revised </w:t>
      </w:r>
      <w:r w:rsidRPr="003F58EE">
        <w:rPr>
          <w:rFonts w:ascii="Calibri Light" w:eastAsia="Times New Roman" w:hAnsi="Calibri Light" w:cs="Calibri Light"/>
          <w:color w:val="222222"/>
          <w:sz w:val="24"/>
          <w:szCs w:val="24"/>
          <w:highlight w:val="white"/>
        </w:rPr>
        <w:t xml:space="preserve">to better meet both agency and industry needs </w:t>
      </w:r>
      <w:r w:rsidR="009A1772" w:rsidRPr="003F58EE">
        <w:rPr>
          <w:rFonts w:ascii="Calibri Light" w:eastAsia="Times New Roman" w:hAnsi="Calibri Light" w:cs="Calibri Light"/>
          <w:color w:val="222222"/>
          <w:sz w:val="24"/>
          <w:szCs w:val="24"/>
          <w:highlight w:val="white"/>
        </w:rPr>
        <w:t>regarding</w:t>
      </w:r>
      <w:r w:rsidRPr="003F58EE">
        <w:rPr>
          <w:rFonts w:ascii="Calibri Light" w:eastAsia="Times New Roman" w:hAnsi="Calibri Light" w:cs="Calibri Light"/>
          <w:color w:val="222222"/>
          <w:sz w:val="24"/>
          <w:szCs w:val="24"/>
          <w:highlight w:val="white"/>
        </w:rPr>
        <w:t xml:space="preserve"> the common form antenna installation application</w:t>
      </w:r>
      <w:r w:rsidRPr="003F58EE">
        <w:rPr>
          <w:rFonts w:ascii="Calibri Light" w:eastAsia="Tahoma" w:hAnsi="Calibri Light" w:cs="Calibri Light"/>
          <w:color w:val="222222"/>
          <w:highlight w:val="white"/>
        </w:rPr>
        <w:t>.</w:t>
      </w:r>
      <w:r w:rsidRPr="003F58EE">
        <w:rPr>
          <w:rFonts w:ascii="Calibri Light" w:eastAsia="Times New Roman" w:hAnsi="Calibri Light" w:cs="Calibri Light"/>
          <w:sz w:val="24"/>
          <w:szCs w:val="24"/>
        </w:rPr>
        <w:t xml:space="preserve">  OMB approved the revised SF-299 on February 14, 2020.  As a result, the SF-299, as revised, is now the exclusive form used by non-</w:t>
      </w:r>
      <w:r w:rsidR="00F3112C">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ederal entities to request approval to install telecommunications equipment on </w:t>
      </w:r>
      <w:r w:rsidR="00F3112C">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ederal assets and lands.  Accordingly, for this report, GSA collected information from the Federal property managing agencies on the use of the SF-299, as revised.    </w:t>
      </w:r>
    </w:p>
    <w:p w14:paraId="350D9837" w14:textId="12B6E922" w:rsidR="001603EB" w:rsidRDefault="001603EB">
      <w:pPr>
        <w:ind w:left="0" w:hanging="2"/>
        <w:jc w:val="both"/>
        <w:rPr>
          <w:rFonts w:ascii="Calibri Light" w:eastAsia="Times New Roman" w:hAnsi="Calibri Light" w:cs="Calibri Light"/>
          <w:sz w:val="24"/>
          <w:szCs w:val="24"/>
        </w:rPr>
      </w:pPr>
    </w:p>
    <w:p w14:paraId="0E1A8570" w14:textId="77777777" w:rsidR="00310BF2" w:rsidRPr="003F58EE" w:rsidRDefault="00310BF2">
      <w:pPr>
        <w:ind w:left="0" w:hanging="2"/>
        <w:jc w:val="both"/>
        <w:rPr>
          <w:rFonts w:ascii="Calibri Light" w:eastAsia="Times New Roman" w:hAnsi="Calibri Light" w:cs="Calibri Light"/>
          <w:sz w:val="24"/>
          <w:szCs w:val="24"/>
        </w:rPr>
      </w:pPr>
    </w:p>
    <w:p w14:paraId="706D7AE5" w14:textId="77777777" w:rsidR="00B34815" w:rsidRPr="00F32D0E" w:rsidRDefault="007213CB">
      <w:pPr>
        <w:pStyle w:val="Heading1"/>
        <w:keepNext/>
        <w:numPr>
          <w:ilvl w:val="0"/>
          <w:numId w:val="4"/>
        </w:numPr>
        <w:ind w:left="1" w:hanging="3"/>
        <w:jc w:val="both"/>
        <w:rPr>
          <w:rFonts w:asciiTheme="majorHAnsi" w:hAnsiTheme="majorHAnsi" w:cstheme="majorHAnsi"/>
        </w:rPr>
      </w:pPr>
      <w:r w:rsidRPr="00F32D0E">
        <w:rPr>
          <w:rFonts w:asciiTheme="majorHAnsi" w:hAnsiTheme="majorHAnsi" w:cstheme="majorHAnsi"/>
        </w:rPr>
        <w:lastRenderedPageBreak/>
        <w:t xml:space="preserve">Data Collection and Reporting Results </w:t>
      </w:r>
    </w:p>
    <w:p w14:paraId="331099E1" w14:textId="260B12CF"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To facilitate and streamline the collection of the information required under subsection 2(d) of E.O. 13821, GSA created and distributed a survey, in </w:t>
      </w:r>
      <w:r w:rsidR="005F5A3E">
        <w:rPr>
          <w:rFonts w:ascii="Calibri Light" w:eastAsia="Times New Roman" w:hAnsi="Calibri Light" w:cs="Calibri Light"/>
          <w:sz w:val="24"/>
          <w:szCs w:val="24"/>
        </w:rPr>
        <w:t>October</w:t>
      </w:r>
      <w:r w:rsidRPr="003F58EE">
        <w:rPr>
          <w:rFonts w:ascii="Calibri Light" w:eastAsia="Times New Roman" w:hAnsi="Calibri Light" w:cs="Calibri Light"/>
          <w:sz w:val="24"/>
          <w:szCs w:val="24"/>
        </w:rPr>
        <w:t xml:space="preserve"> 202</w:t>
      </w:r>
      <w:r w:rsidR="00985B19">
        <w:rPr>
          <w:rFonts w:ascii="Calibri Light" w:eastAsia="Times New Roman" w:hAnsi="Calibri Light" w:cs="Calibri Light"/>
          <w:sz w:val="24"/>
          <w:szCs w:val="24"/>
        </w:rPr>
        <w:t>2</w:t>
      </w:r>
      <w:r w:rsidRPr="003F58EE">
        <w:rPr>
          <w:rFonts w:ascii="Calibri Light" w:eastAsia="Times New Roman" w:hAnsi="Calibri Light" w:cs="Calibri Light"/>
          <w:sz w:val="24"/>
          <w:szCs w:val="24"/>
        </w:rPr>
        <w:t xml:space="preserve">, to 41 Federal property managing agencies and bureaus. </w:t>
      </w:r>
      <w:r w:rsidR="001C177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Appendix A lists the survey questions</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Appendix B lists all the Federal property managing agencies and bureaus that GSA </w:t>
      </w:r>
      <w:r w:rsidR="000C2BB4" w:rsidRPr="003F58EE">
        <w:rPr>
          <w:rFonts w:ascii="Calibri Light" w:eastAsia="Times New Roman" w:hAnsi="Calibri Light" w:cs="Calibri Light"/>
          <w:sz w:val="24"/>
          <w:szCs w:val="24"/>
        </w:rPr>
        <w:t>surveyed,</w:t>
      </w:r>
      <w:r w:rsidRPr="003F58EE">
        <w:rPr>
          <w:rFonts w:ascii="Calibri Light" w:eastAsia="Times New Roman" w:hAnsi="Calibri Light" w:cs="Calibri Light"/>
          <w:sz w:val="24"/>
          <w:szCs w:val="24"/>
        </w:rPr>
        <w:t xml:space="preserve"> and which agencies responded to the survey</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and, for those agencies that responded to the survey, Appendix C identifies those agencies that processed applications for permits during the reporting period.  </w:t>
      </w:r>
    </w:p>
    <w:p w14:paraId="1EEC1BCA" w14:textId="3EFFA4EA" w:rsidR="00B34815" w:rsidRPr="003F58EE" w:rsidRDefault="00511A56">
      <w:pPr>
        <w:ind w:left="0" w:hanging="2"/>
        <w:jc w:val="both"/>
        <w:rPr>
          <w:rFonts w:ascii="Calibri Light" w:hAnsi="Calibri Light" w:cs="Calibri Light"/>
        </w:rPr>
      </w:pPr>
      <w:r w:rsidRPr="003F58EE">
        <w:rPr>
          <w:rFonts w:ascii="Calibri Light" w:eastAsia="Times New Roman" w:hAnsi="Calibri Light" w:cs="Calibri Light"/>
          <w:sz w:val="24"/>
          <w:szCs w:val="24"/>
        </w:rPr>
        <w:t>In accordance with EO 13821 and</w:t>
      </w:r>
      <w:r w:rsidR="001C177E">
        <w:rPr>
          <w:rFonts w:ascii="Calibri Light" w:eastAsia="Times New Roman" w:hAnsi="Calibri Light" w:cs="Calibri Light"/>
          <w:sz w:val="24"/>
          <w:szCs w:val="24"/>
        </w:rPr>
        <w:t xml:space="preserve"> in</w:t>
      </w:r>
      <w:r w:rsidRPr="003F58EE">
        <w:rPr>
          <w:rFonts w:ascii="Calibri Light" w:eastAsia="Times New Roman" w:hAnsi="Calibri Light" w:cs="Calibri Light"/>
          <w:sz w:val="24"/>
          <w:szCs w:val="24"/>
        </w:rPr>
        <w:t xml:space="preserve"> </w:t>
      </w:r>
      <w:r w:rsidR="002C5734" w:rsidRPr="003F58EE">
        <w:rPr>
          <w:rFonts w:ascii="Calibri Light" w:eastAsia="Times New Roman" w:hAnsi="Calibri Light" w:cs="Calibri Light"/>
          <w:sz w:val="24"/>
          <w:szCs w:val="24"/>
        </w:rPr>
        <w:t>collaboration</w:t>
      </w:r>
      <w:r w:rsidR="001C177E">
        <w:rPr>
          <w:rFonts w:ascii="Calibri Light" w:eastAsia="Times New Roman" w:hAnsi="Calibri Light" w:cs="Calibri Light"/>
          <w:sz w:val="24"/>
          <w:szCs w:val="24"/>
        </w:rPr>
        <w:t xml:space="preserve"> with</w:t>
      </w:r>
      <w:r w:rsidR="00065959" w:rsidRPr="003F58EE">
        <w:rPr>
          <w:rFonts w:ascii="Calibri Light" w:eastAsia="Times New Roman" w:hAnsi="Calibri Light" w:cs="Calibri Light"/>
          <w:sz w:val="24"/>
          <w:szCs w:val="24"/>
        </w:rPr>
        <w:t xml:space="preserve"> the Streamlining Federal</w:t>
      </w:r>
      <w:r w:rsidR="00481AB5" w:rsidRPr="003F58EE">
        <w:rPr>
          <w:rFonts w:ascii="Calibri Light" w:eastAsia="Times New Roman" w:hAnsi="Calibri Light" w:cs="Calibri Light"/>
          <w:sz w:val="24"/>
          <w:szCs w:val="24"/>
        </w:rPr>
        <w:t xml:space="preserve"> Permitting Work Stream (SFP</w:t>
      </w:r>
      <w:r w:rsidR="00FE5E66" w:rsidRPr="003F58EE">
        <w:rPr>
          <w:rFonts w:ascii="Calibri Light" w:eastAsia="Times New Roman" w:hAnsi="Calibri Light" w:cs="Calibri Light"/>
          <w:sz w:val="24"/>
          <w:szCs w:val="24"/>
        </w:rPr>
        <w:t>)</w:t>
      </w:r>
      <w:r w:rsidR="00FE5E66">
        <w:rPr>
          <w:rFonts w:ascii="Calibri Light" w:eastAsia="Times New Roman" w:hAnsi="Calibri Light" w:cs="Calibri Light"/>
          <w:sz w:val="24"/>
          <w:szCs w:val="24"/>
        </w:rPr>
        <w:t>,</w:t>
      </w:r>
      <w:r w:rsidR="00FE5E66" w:rsidRPr="003F58EE">
        <w:rPr>
          <w:rFonts w:ascii="Calibri Light" w:eastAsia="Times New Roman" w:hAnsi="Calibri Light" w:cs="Calibri Light"/>
          <w:sz w:val="24"/>
          <w:szCs w:val="24"/>
        </w:rPr>
        <w:t xml:space="preserve"> GSA</w:t>
      </w:r>
      <w:r w:rsidR="00481AB5" w:rsidRPr="003F58EE">
        <w:rPr>
          <w:rFonts w:ascii="Calibri Light" w:eastAsia="Times New Roman" w:hAnsi="Calibri Light" w:cs="Calibri Light"/>
          <w:sz w:val="24"/>
          <w:szCs w:val="24"/>
        </w:rPr>
        <w:t xml:space="preserve"> staff</w:t>
      </w:r>
      <w:r w:rsidR="001603EB">
        <w:rPr>
          <w:rFonts w:ascii="Calibri Light" w:eastAsia="Times New Roman" w:hAnsi="Calibri Light" w:cs="Calibri Light"/>
          <w:sz w:val="24"/>
          <w:szCs w:val="24"/>
        </w:rPr>
        <w:t xml:space="preserve"> created the following definitions to classify more comprehensively the various stages of the permit application process</w:t>
      </w:r>
      <w:r w:rsidR="00B6615F">
        <w:rPr>
          <w:rFonts w:ascii="Calibri Light" w:eastAsia="Times New Roman" w:hAnsi="Calibri Light" w:cs="Calibri Light"/>
          <w:sz w:val="24"/>
          <w:szCs w:val="24"/>
        </w:rPr>
        <w:t>:</w:t>
      </w:r>
    </w:p>
    <w:p w14:paraId="62F2E00F"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Application Received Date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an agency receives a complete (duly filed) application, including any attachments</w:t>
      </w:r>
      <w:r w:rsidRPr="00F32D0E">
        <w:rPr>
          <w:rFonts w:asciiTheme="majorHAnsi" w:eastAsia="Times New Roman" w:hAnsiTheme="majorHAnsi" w:cstheme="majorHAnsi"/>
          <w:color w:val="000000"/>
          <w:sz w:val="24"/>
          <w:szCs w:val="24"/>
        </w:rPr>
        <w:t>.</w:t>
      </w:r>
    </w:p>
    <w:p w14:paraId="1A8A8AD3" w14:textId="77777777" w:rsidR="00B34815" w:rsidRPr="00F32D0E" w:rsidRDefault="00B34815">
      <w:pPr>
        <w:pBdr>
          <w:top w:val="nil"/>
          <w:left w:val="nil"/>
          <w:bottom w:val="nil"/>
          <w:right w:val="nil"/>
          <w:between w:val="nil"/>
        </w:pBdr>
        <w:spacing w:after="0"/>
        <w:ind w:left="1440" w:firstLine="0"/>
        <w:jc w:val="both"/>
        <w:rPr>
          <w:rFonts w:asciiTheme="majorHAnsi" w:eastAsia="Times New Roman" w:hAnsiTheme="majorHAnsi" w:cstheme="majorHAnsi"/>
          <w:color w:val="000000"/>
          <w:sz w:val="24"/>
          <w:szCs w:val="24"/>
        </w:rPr>
      </w:pPr>
    </w:p>
    <w:p w14:paraId="4FFC7F4B" w14:textId="7236A41B"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Approved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the authorizing agency complete</w:t>
      </w:r>
      <w:r w:rsidR="00FE5E66">
        <w:rPr>
          <w:rFonts w:ascii="Calibri Light" w:eastAsia="Times New Roman" w:hAnsi="Calibri Light" w:cs="Calibri Light"/>
          <w:color w:val="000000"/>
          <w:sz w:val="24"/>
          <w:szCs w:val="24"/>
        </w:rPr>
        <w:t>s</w:t>
      </w:r>
      <w:r w:rsidRPr="003F58EE">
        <w:rPr>
          <w:rFonts w:ascii="Calibri Light" w:eastAsia="Times New Roman" w:hAnsi="Calibri Light" w:cs="Calibri Light"/>
          <w:color w:val="000000"/>
          <w:sz w:val="24"/>
          <w:szCs w:val="24"/>
        </w:rPr>
        <w:t xml:space="preserve"> </w:t>
      </w:r>
      <w:r w:rsidRPr="003F58EE">
        <w:rPr>
          <w:rFonts w:ascii="Calibri Light" w:eastAsia="Times New Roman" w:hAnsi="Calibri Light" w:cs="Calibri Light"/>
          <w:sz w:val="24"/>
          <w:szCs w:val="24"/>
        </w:rPr>
        <w:t>its</w:t>
      </w:r>
      <w:r w:rsidRPr="003F58EE">
        <w:rPr>
          <w:rFonts w:ascii="Calibri Light" w:eastAsia="Times New Roman" w:hAnsi="Calibri Light" w:cs="Calibri Light"/>
          <w:color w:val="000000"/>
          <w:sz w:val="24"/>
          <w:szCs w:val="24"/>
        </w:rPr>
        <w:t xml:space="preserve"> review of a duly filed application and transmits the authorization to the applicant, otherwise known as the date the autho</w:t>
      </w:r>
      <w:r w:rsidRPr="003F58EE">
        <w:rPr>
          <w:rFonts w:ascii="Calibri Light" w:eastAsia="Times New Roman" w:hAnsi="Calibri Light" w:cs="Calibri Light"/>
          <w:sz w:val="24"/>
          <w:szCs w:val="24"/>
        </w:rPr>
        <w:t>rization</w:t>
      </w:r>
      <w:r w:rsidRPr="003F58EE">
        <w:rPr>
          <w:rFonts w:ascii="Calibri Light" w:eastAsia="Times New Roman" w:hAnsi="Calibri Light" w:cs="Calibri Light"/>
          <w:color w:val="000000"/>
          <w:sz w:val="24"/>
          <w:szCs w:val="24"/>
        </w:rPr>
        <w:t xml:space="preserve"> was offered to an applicant.  For purposes of the</w:t>
      </w:r>
      <w:r w:rsidRPr="003F58EE">
        <w:rPr>
          <w:rFonts w:ascii="Calibri Light" w:eastAsia="Times New Roman" w:hAnsi="Calibri Light" w:cs="Calibri Light"/>
          <w:sz w:val="24"/>
          <w:szCs w:val="24"/>
        </w:rPr>
        <w:t xml:space="preserve"> survey, an authorization means a permit, lease, grant, or some other contractual agreement.</w:t>
      </w:r>
      <w:r w:rsidRPr="00F32D0E">
        <w:rPr>
          <w:rFonts w:asciiTheme="majorHAnsi" w:eastAsia="Times New Roman" w:hAnsiTheme="majorHAnsi" w:cstheme="majorHAnsi"/>
          <w:color w:val="000000"/>
          <w:sz w:val="24"/>
          <w:szCs w:val="24"/>
        </w:rPr>
        <w:t xml:space="preserve">  </w:t>
      </w:r>
    </w:p>
    <w:p w14:paraId="24AC3464"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7D62B97D"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Rejected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the agency rejects an application (usually an appealable decision).</w:t>
      </w:r>
    </w:p>
    <w:p w14:paraId="4F72F675"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0865BEB3"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Withdrawn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an applicant notifies the agency it no longer wishes to pursue an application and withdraws the application.</w:t>
      </w:r>
    </w:p>
    <w:p w14:paraId="4251847C"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4C54705F" w14:textId="77777777" w:rsidR="00B34815" w:rsidRPr="003F58EE" w:rsidRDefault="007213CB">
      <w:pPr>
        <w:numPr>
          <w:ilvl w:val="1"/>
          <w:numId w:val="5"/>
        </w:numPr>
        <w:pBdr>
          <w:top w:val="nil"/>
          <w:left w:val="nil"/>
          <w:bottom w:val="nil"/>
          <w:right w:val="nil"/>
          <w:between w:val="nil"/>
        </w:pBdr>
        <w:spacing w:after="0"/>
        <w:jc w:val="both"/>
        <w:rPr>
          <w:rFonts w:ascii="Calibri Light" w:eastAsia="Times New Roman" w:hAnsi="Calibri Light" w:cs="Calibri Light"/>
          <w:color w:val="000000"/>
          <w:sz w:val="24"/>
          <w:szCs w:val="24"/>
        </w:rPr>
      </w:pPr>
      <w:r w:rsidRPr="00F32D0E">
        <w:rPr>
          <w:rFonts w:asciiTheme="majorHAnsi" w:eastAsia="Times New Roman" w:hAnsiTheme="majorHAnsi" w:cstheme="majorHAnsi"/>
          <w:b/>
          <w:color w:val="000000"/>
          <w:sz w:val="24"/>
          <w:szCs w:val="24"/>
        </w:rPr>
        <w:t xml:space="preserve">Date Authorized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 xml:space="preserve">The date on which both the agency and the applicant agree to the contractual terms and conditions of an authorization. </w:t>
      </w:r>
    </w:p>
    <w:p w14:paraId="5E67D8DB"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50F73C6C" w14:textId="77777777" w:rsidR="00B34815" w:rsidRPr="003F58EE" w:rsidRDefault="007213CB">
      <w:pPr>
        <w:numPr>
          <w:ilvl w:val="1"/>
          <w:numId w:val="5"/>
        </w:numPr>
        <w:pBdr>
          <w:top w:val="nil"/>
          <w:left w:val="nil"/>
          <w:bottom w:val="nil"/>
          <w:right w:val="nil"/>
          <w:between w:val="nil"/>
        </w:pBdr>
        <w:jc w:val="both"/>
        <w:rPr>
          <w:rFonts w:ascii="Calibri Light" w:eastAsia="Times New Roman" w:hAnsi="Calibri Light" w:cs="Calibri Light"/>
          <w:color w:val="000000"/>
          <w:sz w:val="24"/>
          <w:szCs w:val="24"/>
        </w:rPr>
      </w:pPr>
      <w:r w:rsidRPr="00F32D0E">
        <w:rPr>
          <w:rFonts w:asciiTheme="majorHAnsi" w:eastAsia="Times New Roman" w:hAnsiTheme="majorHAnsi" w:cstheme="majorHAnsi"/>
          <w:b/>
          <w:color w:val="000000"/>
          <w:sz w:val="24"/>
          <w:szCs w:val="24"/>
        </w:rPr>
        <w:t xml:space="preserve">Application Pending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An application that has been received by the agency, but not yet processed.</w:t>
      </w:r>
    </w:p>
    <w:p w14:paraId="6C7C189C" w14:textId="2EB43709" w:rsidR="00603489" w:rsidRDefault="007213CB">
      <w:pPr>
        <w:ind w:left="0" w:firstLine="0"/>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GSA has reviewed and aggregated the responses to the survey questions and provides </w:t>
      </w:r>
      <w:r w:rsidR="00F85A88" w:rsidRPr="003F58EE">
        <w:rPr>
          <w:rFonts w:ascii="Calibri Light" w:eastAsia="Times New Roman" w:hAnsi="Calibri Light" w:cs="Calibri Light"/>
          <w:sz w:val="24"/>
          <w:szCs w:val="24"/>
        </w:rPr>
        <w:t xml:space="preserve">data most recently collected for </w:t>
      </w:r>
      <w:r w:rsidR="00A83AC8">
        <w:rPr>
          <w:rFonts w:ascii="Calibri Light" w:eastAsia="Times New Roman" w:hAnsi="Calibri Light" w:cs="Calibri Light"/>
          <w:sz w:val="24"/>
          <w:szCs w:val="24"/>
        </w:rPr>
        <w:t>Q</w:t>
      </w:r>
      <w:r w:rsidR="005F5A3E">
        <w:rPr>
          <w:rFonts w:ascii="Calibri Light" w:eastAsia="Times New Roman" w:hAnsi="Calibri Light" w:cs="Calibri Light"/>
          <w:sz w:val="24"/>
          <w:szCs w:val="24"/>
        </w:rPr>
        <w:t>4</w:t>
      </w:r>
      <w:r w:rsidR="00F85A88" w:rsidRPr="003F58EE">
        <w:rPr>
          <w:rFonts w:ascii="Calibri Light" w:eastAsia="Times New Roman" w:hAnsi="Calibri Light" w:cs="Calibri Light"/>
          <w:sz w:val="24"/>
          <w:szCs w:val="24"/>
        </w:rPr>
        <w:t xml:space="preserve"> of FY 2</w:t>
      </w:r>
      <w:r w:rsidR="00A83AC8">
        <w:rPr>
          <w:rFonts w:ascii="Calibri Light" w:eastAsia="Times New Roman" w:hAnsi="Calibri Light" w:cs="Calibri Light"/>
          <w:sz w:val="24"/>
          <w:szCs w:val="24"/>
        </w:rPr>
        <w:t>022</w:t>
      </w:r>
      <w:r w:rsidR="00F85A88" w:rsidRPr="003F58EE">
        <w:rPr>
          <w:rFonts w:ascii="Calibri Light" w:eastAsia="Times New Roman" w:hAnsi="Calibri Light" w:cs="Calibri Light"/>
          <w:sz w:val="24"/>
          <w:szCs w:val="24"/>
        </w:rPr>
        <w:t xml:space="preserve">. </w:t>
      </w:r>
      <w:r w:rsidR="00B6615F">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Of the 41 agencies and bureaus surveyed that meet the E.O.</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s definition of Federal property managing agencies, 3</w:t>
      </w:r>
      <w:r w:rsidR="00156D92">
        <w:rPr>
          <w:rFonts w:ascii="Calibri Light" w:eastAsia="Times New Roman" w:hAnsi="Calibri Light" w:cs="Calibri Light"/>
          <w:sz w:val="24"/>
          <w:szCs w:val="24"/>
        </w:rPr>
        <w:t>2</w:t>
      </w:r>
      <w:r w:rsidRPr="003F58EE">
        <w:rPr>
          <w:rFonts w:ascii="Calibri Light" w:eastAsia="Times New Roman" w:hAnsi="Calibri Light" w:cs="Calibri Light"/>
          <w:sz w:val="24"/>
          <w:szCs w:val="24"/>
        </w:rPr>
        <w:t xml:space="preserve"> responded to the survey and </w:t>
      </w:r>
      <w:r w:rsidR="005F5A3E">
        <w:rPr>
          <w:rFonts w:ascii="Calibri Light" w:eastAsia="Times New Roman" w:hAnsi="Calibri Light" w:cs="Calibri Light"/>
          <w:sz w:val="24"/>
          <w:szCs w:val="24"/>
        </w:rPr>
        <w:t>6</w:t>
      </w:r>
      <w:r w:rsidRPr="003F58EE">
        <w:rPr>
          <w:rFonts w:ascii="Calibri Light" w:eastAsia="Times New Roman" w:hAnsi="Calibri Light" w:cs="Calibri Light"/>
          <w:sz w:val="24"/>
          <w:szCs w:val="24"/>
        </w:rPr>
        <w:t xml:space="preserve"> processed applications during the reporting period. </w:t>
      </w:r>
      <w:r w:rsidR="00FE5E66">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Table 1 provides an aggregated summary of the number of applications received, the number of applications approved, the number of applications rejected, the number of working days each application was pending before being approved or rejected, the number of applications authorized, and the number of applications withdrawn. </w:t>
      </w:r>
    </w:p>
    <w:p w14:paraId="260E67BC" w14:textId="7321A7BE" w:rsidR="001571FE" w:rsidRPr="00156D92" w:rsidRDefault="001571FE" w:rsidP="00156D92">
      <w:pPr>
        <w:ind w:left="0" w:firstLine="0"/>
        <w:jc w:val="both"/>
        <w:rPr>
          <w:rFonts w:ascii="Calibri Light" w:eastAsia="Times New Roman" w:hAnsi="Calibri Light" w:cs="Calibri Light"/>
          <w:b/>
          <w:bCs/>
          <w:sz w:val="24"/>
          <w:szCs w:val="24"/>
        </w:rPr>
      </w:pPr>
      <w:r w:rsidRPr="00A0390B">
        <w:rPr>
          <w:b/>
          <w:bCs/>
        </w:rPr>
        <w:lastRenderedPageBreak/>
        <w:t xml:space="preserve">Table </w:t>
      </w:r>
      <w:r w:rsidRPr="00A0390B">
        <w:rPr>
          <w:b/>
          <w:bCs/>
        </w:rPr>
        <w:fldChar w:fldCharType="begin"/>
      </w:r>
      <w:r w:rsidRPr="00A0390B">
        <w:rPr>
          <w:b/>
          <w:bCs/>
        </w:rPr>
        <w:instrText xml:space="preserve"> SEQ Table \* ARABIC </w:instrText>
      </w:r>
      <w:r w:rsidRPr="00A0390B">
        <w:rPr>
          <w:b/>
          <w:bCs/>
        </w:rPr>
        <w:fldChar w:fldCharType="separate"/>
      </w:r>
      <w:r w:rsidRPr="00A0390B">
        <w:rPr>
          <w:b/>
          <w:bCs/>
          <w:noProof/>
        </w:rPr>
        <w:t>1</w:t>
      </w:r>
      <w:r w:rsidRPr="00A0390B">
        <w:rPr>
          <w:b/>
          <w:bCs/>
        </w:rPr>
        <w:fldChar w:fldCharType="end"/>
      </w:r>
      <w:r w:rsidRPr="00A0390B">
        <w:rPr>
          <w:b/>
          <w:bCs/>
        </w:rPr>
        <w:t>: Aggregate Summary of Reporting Results</w:t>
      </w:r>
    </w:p>
    <w:tbl>
      <w:tblPr>
        <w:tblStyle w:val="TableGrid"/>
        <w:tblpPr w:leftFromText="180" w:rightFromText="180" w:vertAnchor="page" w:horzAnchor="margin" w:tblpY="2056"/>
        <w:tblW w:w="8992" w:type="dxa"/>
        <w:tblLayout w:type="fixed"/>
        <w:tblLook w:val="0020" w:firstRow="1" w:lastRow="0" w:firstColumn="0" w:lastColumn="0" w:noHBand="0" w:noVBand="0"/>
      </w:tblPr>
      <w:tblGrid>
        <w:gridCol w:w="3534"/>
        <w:gridCol w:w="1341"/>
        <w:gridCol w:w="1341"/>
        <w:gridCol w:w="1327"/>
        <w:gridCol w:w="1449"/>
      </w:tblGrid>
      <w:tr w:rsidR="001571FE" w:rsidRPr="00005033" w14:paraId="0711ED00" w14:textId="77777777" w:rsidTr="000978CC">
        <w:trPr>
          <w:trHeight w:val="341"/>
        </w:trPr>
        <w:tc>
          <w:tcPr>
            <w:tcW w:w="3534" w:type="dxa"/>
            <w:shd w:val="clear" w:color="auto" w:fill="auto"/>
          </w:tcPr>
          <w:p w14:paraId="11AE5D82" w14:textId="77777777" w:rsidR="001571FE" w:rsidRPr="00005033" w:rsidRDefault="001571FE" w:rsidP="000978CC">
            <w:pPr>
              <w:ind w:left="2" w:hanging="4"/>
              <w:rPr>
                <w:rFonts w:asciiTheme="majorHAnsi" w:eastAsia="Arial" w:hAnsiTheme="majorHAnsi" w:cstheme="majorHAnsi"/>
                <w:sz w:val="24"/>
                <w:szCs w:val="24"/>
              </w:rPr>
            </w:pPr>
            <w:r w:rsidRPr="00005033">
              <w:rPr>
                <w:rFonts w:asciiTheme="majorHAnsi" w:eastAsia="Arial" w:hAnsiTheme="majorHAnsi" w:cstheme="majorHAnsi"/>
                <w:b/>
                <w:sz w:val="24"/>
                <w:szCs w:val="24"/>
              </w:rPr>
              <w:t>Description</w:t>
            </w:r>
          </w:p>
        </w:tc>
        <w:tc>
          <w:tcPr>
            <w:tcW w:w="1341" w:type="dxa"/>
            <w:shd w:val="clear" w:color="auto" w:fill="auto"/>
          </w:tcPr>
          <w:p w14:paraId="6945FF45" w14:textId="77777777" w:rsidR="001571FE" w:rsidRPr="00005033" w:rsidRDefault="001571FE" w:rsidP="000978CC">
            <w:pPr>
              <w:ind w:left="0" w:firstLine="0"/>
              <w:rPr>
                <w:rFonts w:asciiTheme="majorHAnsi" w:eastAsia="Arial" w:hAnsiTheme="majorHAnsi" w:cstheme="majorHAnsi"/>
                <w:b/>
                <w:sz w:val="24"/>
                <w:szCs w:val="24"/>
              </w:rPr>
            </w:pPr>
            <w:r>
              <w:rPr>
                <w:rFonts w:asciiTheme="majorHAnsi" w:eastAsia="Arial" w:hAnsiTheme="majorHAnsi" w:cstheme="majorHAnsi"/>
                <w:b/>
                <w:sz w:val="24"/>
                <w:szCs w:val="24"/>
              </w:rPr>
              <w:t>Q1 FY22</w:t>
            </w:r>
          </w:p>
        </w:tc>
        <w:tc>
          <w:tcPr>
            <w:tcW w:w="1341" w:type="dxa"/>
            <w:shd w:val="clear" w:color="auto" w:fill="auto"/>
          </w:tcPr>
          <w:p w14:paraId="3D5ED900" w14:textId="77777777" w:rsidR="001571FE" w:rsidRPr="00005033" w:rsidRDefault="001571FE" w:rsidP="000978CC">
            <w:pPr>
              <w:ind w:left="0" w:firstLine="0"/>
              <w:rPr>
                <w:rFonts w:asciiTheme="majorHAnsi" w:eastAsia="Arial" w:hAnsiTheme="majorHAnsi" w:cstheme="majorHAnsi"/>
                <w:b/>
                <w:sz w:val="24"/>
                <w:szCs w:val="24"/>
              </w:rPr>
            </w:pPr>
            <w:r w:rsidRPr="00005033">
              <w:rPr>
                <w:rFonts w:asciiTheme="majorHAnsi" w:eastAsia="Cambria" w:hAnsiTheme="majorHAnsi" w:cstheme="majorHAnsi"/>
                <w:b/>
                <w:color w:val="000000"/>
                <w:sz w:val="24"/>
                <w:szCs w:val="24"/>
              </w:rPr>
              <w:t>Q</w:t>
            </w:r>
            <w:r>
              <w:rPr>
                <w:rFonts w:asciiTheme="majorHAnsi" w:eastAsia="Cambria" w:hAnsiTheme="majorHAnsi" w:cstheme="majorHAnsi"/>
                <w:b/>
                <w:color w:val="000000"/>
                <w:sz w:val="24"/>
                <w:szCs w:val="24"/>
              </w:rPr>
              <w:t>2</w:t>
            </w:r>
            <w:r w:rsidRPr="00005033">
              <w:rPr>
                <w:rFonts w:asciiTheme="majorHAnsi" w:eastAsia="Cambria" w:hAnsiTheme="majorHAnsi" w:cstheme="majorHAnsi"/>
                <w:b/>
                <w:color w:val="000000"/>
                <w:sz w:val="24"/>
                <w:szCs w:val="24"/>
              </w:rPr>
              <w:t xml:space="preserve"> FY 22</w:t>
            </w:r>
          </w:p>
        </w:tc>
        <w:tc>
          <w:tcPr>
            <w:tcW w:w="1327" w:type="dxa"/>
            <w:shd w:val="clear" w:color="auto" w:fill="auto"/>
          </w:tcPr>
          <w:p w14:paraId="7AB7B428" w14:textId="77777777" w:rsidR="001571FE" w:rsidRPr="00005033" w:rsidRDefault="001571FE" w:rsidP="000978CC">
            <w:pPr>
              <w:ind w:left="0" w:firstLine="0"/>
              <w:rPr>
                <w:rFonts w:asciiTheme="majorHAnsi" w:eastAsia="Arial" w:hAnsiTheme="majorHAnsi" w:cstheme="majorHAnsi"/>
                <w:sz w:val="24"/>
                <w:szCs w:val="24"/>
              </w:rPr>
            </w:pPr>
            <w:r w:rsidRPr="00005033">
              <w:rPr>
                <w:rFonts w:asciiTheme="majorHAnsi" w:eastAsia="Cambria" w:hAnsiTheme="majorHAnsi" w:cstheme="majorHAnsi"/>
                <w:b/>
                <w:color w:val="000000"/>
                <w:sz w:val="24"/>
                <w:szCs w:val="24"/>
              </w:rPr>
              <w:t>Q</w:t>
            </w:r>
            <w:r>
              <w:rPr>
                <w:rFonts w:asciiTheme="majorHAnsi" w:eastAsia="Cambria" w:hAnsiTheme="majorHAnsi" w:cstheme="majorHAnsi"/>
                <w:b/>
                <w:color w:val="000000"/>
                <w:sz w:val="24"/>
                <w:szCs w:val="24"/>
              </w:rPr>
              <w:t>3</w:t>
            </w:r>
            <w:r w:rsidRPr="00005033">
              <w:rPr>
                <w:rFonts w:asciiTheme="majorHAnsi" w:eastAsia="Cambria" w:hAnsiTheme="majorHAnsi" w:cstheme="majorHAnsi"/>
                <w:b/>
                <w:color w:val="000000"/>
                <w:sz w:val="24"/>
                <w:szCs w:val="24"/>
              </w:rPr>
              <w:t xml:space="preserve"> FY22</w:t>
            </w:r>
          </w:p>
        </w:tc>
        <w:tc>
          <w:tcPr>
            <w:tcW w:w="1449" w:type="dxa"/>
            <w:shd w:val="clear" w:color="auto" w:fill="auto"/>
          </w:tcPr>
          <w:p w14:paraId="74875698" w14:textId="77777777" w:rsidR="001571FE" w:rsidRPr="00005033" w:rsidRDefault="001571FE" w:rsidP="000978CC">
            <w:pPr>
              <w:ind w:left="0" w:firstLine="0"/>
              <w:rPr>
                <w:rFonts w:asciiTheme="majorHAnsi" w:eastAsia="Arial" w:hAnsiTheme="majorHAnsi" w:cstheme="majorHAnsi"/>
                <w:sz w:val="24"/>
                <w:szCs w:val="24"/>
              </w:rPr>
            </w:pPr>
            <w:r w:rsidRPr="00005033">
              <w:rPr>
                <w:rFonts w:asciiTheme="majorHAnsi" w:eastAsia="Cambria" w:hAnsiTheme="majorHAnsi" w:cstheme="majorHAnsi"/>
                <w:b/>
                <w:color w:val="000000"/>
                <w:sz w:val="24"/>
                <w:szCs w:val="24"/>
              </w:rPr>
              <w:t>Q</w:t>
            </w:r>
            <w:r>
              <w:rPr>
                <w:rFonts w:asciiTheme="majorHAnsi" w:eastAsia="Cambria" w:hAnsiTheme="majorHAnsi" w:cstheme="majorHAnsi"/>
                <w:b/>
                <w:color w:val="000000"/>
                <w:sz w:val="24"/>
                <w:szCs w:val="24"/>
              </w:rPr>
              <w:t>4</w:t>
            </w:r>
            <w:r w:rsidRPr="00005033">
              <w:rPr>
                <w:rFonts w:asciiTheme="majorHAnsi" w:eastAsia="Cambria" w:hAnsiTheme="majorHAnsi" w:cstheme="majorHAnsi"/>
                <w:b/>
                <w:color w:val="000000"/>
                <w:sz w:val="24"/>
                <w:szCs w:val="24"/>
              </w:rPr>
              <w:t xml:space="preserve"> FY22</w:t>
            </w:r>
          </w:p>
        </w:tc>
      </w:tr>
      <w:tr w:rsidR="001571FE" w:rsidRPr="00005033" w14:paraId="3859D876" w14:textId="77777777" w:rsidTr="000978CC">
        <w:trPr>
          <w:trHeight w:val="152"/>
        </w:trPr>
        <w:tc>
          <w:tcPr>
            <w:tcW w:w="3534" w:type="dxa"/>
          </w:tcPr>
          <w:p w14:paraId="55BDBC24" w14:textId="77777777" w:rsidR="001571FE" w:rsidRPr="00005033" w:rsidRDefault="001571FE" w:rsidP="000978CC">
            <w:pPr>
              <w:ind w:left="0" w:firstLine="0"/>
              <w:rPr>
                <w:rFonts w:asciiTheme="majorHAnsi" w:eastAsia="Arial" w:hAnsiTheme="majorHAnsi" w:cstheme="majorHAnsi"/>
              </w:rPr>
            </w:pPr>
          </w:p>
          <w:p w14:paraId="6AE7922F" w14:textId="77777777" w:rsidR="001571FE" w:rsidRPr="00005033" w:rsidRDefault="001571FE" w:rsidP="000978CC">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w:t>
            </w:r>
            <w:r w:rsidRPr="00005033">
              <w:rPr>
                <w:rFonts w:asciiTheme="majorHAnsi" w:eastAsia="Arial" w:hAnsiTheme="majorHAnsi" w:cstheme="majorHAnsi"/>
              </w:rPr>
              <w:t>r</w:t>
            </w:r>
            <w:r w:rsidRPr="00005033">
              <w:rPr>
                <w:rFonts w:asciiTheme="majorHAnsi" w:eastAsia="Arial" w:hAnsiTheme="majorHAnsi" w:cstheme="majorHAnsi"/>
                <w:color w:val="000000"/>
              </w:rPr>
              <w:t>eceived</w:t>
            </w:r>
          </w:p>
        </w:tc>
        <w:tc>
          <w:tcPr>
            <w:tcW w:w="1341" w:type="dxa"/>
          </w:tcPr>
          <w:p w14:paraId="50DFFE7F" w14:textId="77777777" w:rsidR="001571FE" w:rsidRDefault="001571FE" w:rsidP="000978CC">
            <w:pPr>
              <w:ind w:left="0" w:firstLine="0"/>
              <w:jc w:val="right"/>
              <w:rPr>
                <w:rFonts w:asciiTheme="majorHAnsi" w:eastAsia="Arial" w:hAnsiTheme="majorHAnsi" w:cstheme="majorHAnsi"/>
              </w:rPr>
            </w:pPr>
          </w:p>
          <w:p w14:paraId="3C333DDB"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134</w:t>
            </w:r>
          </w:p>
        </w:tc>
        <w:tc>
          <w:tcPr>
            <w:tcW w:w="1341" w:type="dxa"/>
          </w:tcPr>
          <w:p w14:paraId="14D8CDBB" w14:textId="77777777" w:rsidR="001571FE" w:rsidRPr="00005033" w:rsidRDefault="001571FE" w:rsidP="000978CC">
            <w:pPr>
              <w:ind w:firstLine="0"/>
              <w:rPr>
                <w:rFonts w:asciiTheme="majorHAnsi" w:eastAsia="Cambria" w:hAnsiTheme="majorHAnsi" w:cstheme="majorHAnsi"/>
                <w:color w:val="000000"/>
              </w:rPr>
            </w:pPr>
          </w:p>
          <w:p w14:paraId="5C594A3C" w14:textId="2DB0CFD3" w:rsidR="001571FE" w:rsidRPr="00005033" w:rsidRDefault="001571FE"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20</w:t>
            </w:r>
            <w:r w:rsidR="00156D92">
              <w:rPr>
                <w:rFonts w:asciiTheme="majorHAnsi" w:eastAsia="Cambria" w:hAnsiTheme="majorHAnsi" w:cstheme="majorHAnsi"/>
                <w:color w:val="000000"/>
              </w:rPr>
              <w:t>0</w:t>
            </w:r>
          </w:p>
        </w:tc>
        <w:tc>
          <w:tcPr>
            <w:tcW w:w="1327" w:type="dxa"/>
          </w:tcPr>
          <w:p w14:paraId="6881CEB0" w14:textId="77777777" w:rsidR="001571FE" w:rsidRPr="00005033" w:rsidRDefault="001571FE" w:rsidP="000978CC">
            <w:pPr>
              <w:ind w:firstLine="0"/>
              <w:jc w:val="right"/>
              <w:rPr>
                <w:rFonts w:asciiTheme="majorHAnsi" w:eastAsia="Cambria" w:hAnsiTheme="majorHAnsi" w:cstheme="majorHAnsi"/>
                <w:color w:val="000000"/>
              </w:rPr>
            </w:pPr>
          </w:p>
          <w:p w14:paraId="56E32F8C" w14:textId="77777777" w:rsidR="001571FE" w:rsidRPr="00005033" w:rsidRDefault="001571FE"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154</w:t>
            </w:r>
          </w:p>
        </w:tc>
        <w:tc>
          <w:tcPr>
            <w:tcW w:w="1449" w:type="dxa"/>
          </w:tcPr>
          <w:p w14:paraId="64A3E021" w14:textId="77777777" w:rsidR="001571FE" w:rsidRPr="00005033" w:rsidRDefault="001571FE" w:rsidP="000978CC">
            <w:pPr>
              <w:ind w:firstLine="0"/>
              <w:jc w:val="right"/>
              <w:rPr>
                <w:rFonts w:asciiTheme="majorHAnsi" w:eastAsia="Cambria" w:hAnsiTheme="majorHAnsi" w:cstheme="majorHAnsi"/>
                <w:color w:val="000000"/>
              </w:rPr>
            </w:pPr>
          </w:p>
          <w:p w14:paraId="7DDA3CC2"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262</w:t>
            </w:r>
          </w:p>
        </w:tc>
      </w:tr>
      <w:tr w:rsidR="001571FE" w:rsidRPr="00005033" w14:paraId="36C88491" w14:textId="77777777" w:rsidTr="000978CC">
        <w:trPr>
          <w:trHeight w:val="313"/>
        </w:trPr>
        <w:tc>
          <w:tcPr>
            <w:tcW w:w="8992" w:type="dxa"/>
            <w:gridSpan w:val="5"/>
          </w:tcPr>
          <w:p w14:paraId="69D1F59D" w14:textId="77777777" w:rsidR="001571FE" w:rsidRPr="00553746" w:rsidRDefault="001571FE" w:rsidP="000978CC">
            <w:pPr>
              <w:ind w:left="0" w:firstLine="0"/>
              <w:rPr>
                <w:rFonts w:asciiTheme="majorHAnsi" w:eastAsia="Arial" w:hAnsiTheme="majorHAnsi" w:cstheme="majorHAnsi"/>
                <w:i/>
                <w:iCs/>
              </w:rPr>
            </w:pPr>
            <w:r w:rsidRPr="00553746">
              <w:rPr>
                <w:rFonts w:asciiTheme="majorHAnsi" w:eastAsia="Arial" w:hAnsiTheme="majorHAnsi" w:cstheme="majorHAnsi"/>
                <w:i/>
                <w:iCs/>
                <w:color w:val="4F81BD" w:themeColor="accent1"/>
              </w:rPr>
              <w:t>Approvals</w:t>
            </w:r>
          </w:p>
        </w:tc>
      </w:tr>
      <w:tr w:rsidR="001571FE" w:rsidRPr="00005033" w14:paraId="48D21EA2" w14:textId="77777777" w:rsidTr="000978CC">
        <w:trPr>
          <w:trHeight w:val="335"/>
        </w:trPr>
        <w:tc>
          <w:tcPr>
            <w:tcW w:w="3534" w:type="dxa"/>
          </w:tcPr>
          <w:p w14:paraId="4592842B" w14:textId="77777777" w:rsidR="001571FE"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Applications approved</w:t>
            </w:r>
          </w:p>
        </w:tc>
        <w:tc>
          <w:tcPr>
            <w:tcW w:w="1341" w:type="dxa"/>
          </w:tcPr>
          <w:p w14:paraId="20E54921" w14:textId="77777777" w:rsidR="001571FE" w:rsidRPr="00553746" w:rsidRDefault="001571FE" w:rsidP="000978CC">
            <w:pPr>
              <w:ind w:firstLine="0"/>
              <w:jc w:val="right"/>
              <w:rPr>
                <w:rFonts w:asciiTheme="majorHAnsi" w:eastAsia="Arial" w:hAnsiTheme="majorHAnsi" w:cstheme="majorHAnsi"/>
                <w:color w:val="000000"/>
              </w:rPr>
            </w:pPr>
            <w:r>
              <w:rPr>
                <w:rFonts w:asciiTheme="majorHAnsi" w:eastAsia="Arial" w:hAnsiTheme="majorHAnsi" w:cstheme="majorHAnsi"/>
                <w:color w:val="000000"/>
              </w:rPr>
              <w:t>156</w:t>
            </w:r>
          </w:p>
        </w:tc>
        <w:tc>
          <w:tcPr>
            <w:tcW w:w="1341" w:type="dxa"/>
          </w:tcPr>
          <w:p w14:paraId="173332DC" w14:textId="77777777" w:rsidR="001571FE" w:rsidRPr="00553746" w:rsidRDefault="001571FE" w:rsidP="000978CC">
            <w:pPr>
              <w:ind w:firstLine="0"/>
              <w:jc w:val="right"/>
              <w:rPr>
                <w:rFonts w:asciiTheme="majorHAnsi" w:eastAsia="Arial" w:hAnsiTheme="majorHAnsi" w:cstheme="majorHAnsi"/>
                <w:color w:val="000000"/>
              </w:rPr>
            </w:pPr>
            <w:r>
              <w:rPr>
                <w:rFonts w:asciiTheme="majorHAnsi" w:eastAsia="Arial" w:hAnsiTheme="majorHAnsi" w:cstheme="majorHAnsi"/>
                <w:color w:val="000000"/>
              </w:rPr>
              <w:t>200</w:t>
            </w:r>
          </w:p>
        </w:tc>
        <w:tc>
          <w:tcPr>
            <w:tcW w:w="1327" w:type="dxa"/>
          </w:tcPr>
          <w:p w14:paraId="2232DA6C" w14:textId="77777777" w:rsidR="001571FE" w:rsidRPr="00553746" w:rsidRDefault="001571FE" w:rsidP="000978CC">
            <w:pPr>
              <w:ind w:left="0" w:firstLine="0"/>
              <w:jc w:val="right"/>
              <w:rPr>
                <w:rFonts w:asciiTheme="majorHAnsi" w:eastAsia="Arial" w:hAnsiTheme="majorHAnsi" w:cstheme="majorHAnsi"/>
                <w:color w:val="000000"/>
              </w:rPr>
            </w:pPr>
            <w:r>
              <w:rPr>
                <w:rFonts w:asciiTheme="majorHAnsi" w:eastAsia="Arial" w:hAnsiTheme="majorHAnsi" w:cstheme="majorHAnsi"/>
                <w:color w:val="000000"/>
              </w:rPr>
              <w:t>108</w:t>
            </w:r>
          </w:p>
        </w:tc>
        <w:tc>
          <w:tcPr>
            <w:tcW w:w="1449" w:type="dxa"/>
          </w:tcPr>
          <w:p w14:paraId="13F21311" w14:textId="77777777" w:rsidR="001571FE" w:rsidRPr="00553746" w:rsidRDefault="001571FE" w:rsidP="000978CC">
            <w:pPr>
              <w:ind w:left="0" w:firstLine="0"/>
              <w:jc w:val="right"/>
              <w:rPr>
                <w:rFonts w:asciiTheme="majorHAnsi" w:eastAsia="Arial" w:hAnsiTheme="majorHAnsi" w:cstheme="majorHAnsi"/>
                <w:color w:val="000000"/>
              </w:rPr>
            </w:pPr>
            <w:r>
              <w:rPr>
                <w:rFonts w:asciiTheme="majorHAnsi" w:eastAsia="Arial" w:hAnsiTheme="majorHAnsi" w:cstheme="majorHAnsi"/>
                <w:color w:val="000000"/>
              </w:rPr>
              <w:t>165</w:t>
            </w:r>
          </w:p>
        </w:tc>
      </w:tr>
      <w:tr w:rsidR="001571FE" w:rsidRPr="00005033" w14:paraId="273776AD" w14:textId="77777777" w:rsidTr="000978CC">
        <w:trPr>
          <w:trHeight w:val="313"/>
        </w:trPr>
        <w:tc>
          <w:tcPr>
            <w:tcW w:w="3534" w:type="dxa"/>
          </w:tcPr>
          <w:p w14:paraId="3FEE142E" w14:textId="77777777" w:rsidR="001571FE" w:rsidRPr="00553746"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Average # days applications pending before approval</w:t>
            </w:r>
          </w:p>
        </w:tc>
        <w:tc>
          <w:tcPr>
            <w:tcW w:w="1341" w:type="dxa"/>
          </w:tcPr>
          <w:p w14:paraId="2B88EEB2" w14:textId="77777777" w:rsidR="001571FE" w:rsidRPr="00005033" w:rsidRDefault="001571FE" w:rsidP="000978CC">
            <w:pPr>
              <w:ind w:firstLine="0"/>
              <w:jc w:val="right"/>
              <w:rPr>
                <w:rFonts w:asciiTheme="majorHAnsi" w:eastAsia="Cambria" w:hAnsiTheme="majorHAnsi" w:cstheme="majorHAnsi"/>
                <w:color w:val="000000"/>
              </w:rPr>
            </w:pPr>
          </w:p>
          <w:p w14:paraId="3F39EF2B" w14:textId="77777777" w:rsidR="001571FE" w:rsidRPr="00005033" w:rsidRDefault="001571FE"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213</w:t>
            </w:r>
          </w:p>
        </w:tc>
        <w:tc>
          <w:tcPr>
            <w:tcW w:w="1341" w:type="dxa"/>
          </w:tcPr>
          <w:p w14:paraId="2C99098E" w14:textId="77777777" w:rsidR="001571FE" w:rsidRPr="00005033" w:rsidRDefault="001571FE" w:rsidP="000978CC">
            <w:pPr>
              <w:ind w:firstLine="0"/>
              <w:jc w:val="right"/>
              <w:rPr>
                <w:rFonts w:asciiTheme="majorHAnsi" w:eastAsia="Cambria" w:hAnsiTheme="majorHAnsi" w:cstheme="majorHAnsi"/>
                <w:color w:val="000000"/>
              </w:rPr>
            </w:pPr>
          </w:p>
          <w:p w14:paraId="06106AA0" w14:textId="77777777" w:rsidR="001571FE" w:rsidRPr="00005033" w:rsidRDefault="001571FE" w:rsidP="000978CC">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2</w:t>
            </w:r>
            <w:r>
              <w:rPr>
                <w:rFonts w:asciiTheme="majorHAnsi" w:eastAsia="Cambria" w:hAnsiTheme="majorHAnsi" w:cstheme="majorHAnsi"/>
                <w:color w:val="000000"/>
              </w:rPr>
              <w:t>31</w:t>
            </w:r>
          </w:p>
        </w:tc>
        <w:tc>
          <w:tcPr>
            <w:tcW w:w="1327" w:type="dxa"/>
          </w:tcPr>
          <w:p w14:paraId="3ED72E07" w14:textId="77777777" w:rsidR="001571FE" w:rsidRPr="00005033" w:rsidRDefault="001571FE" w:rsidP="000978CC">
            <w:pPr>
              <w:ind w:left="0" w:firstLine="0"/>
              <w:jc w:val="right"/>
              <w:rPr>
                <w:rFonts w:asciiTheme="majorHAnsi" w:eastAsia="Arial" w:hAnsiTheme="majorHAnsi" w:cstheme="majorHAnsi"/>
              </w:rPr>
            </w:pPr>
          </w:p>
          <w:p w14:paraId="600D9B55"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188</w:t>
            </w:r>
          </w:p>
        </w:tc>
        <w:tc>
          <w:tcPr>
            <w:tcW w:w="1449" w:type="dxa"/>
          </w:tcPr>
          <w:p w14:paraId="050CEF16" w14:textId="77777777" w:rsidR="001571FE" w:rsidRPr="00005033" w:rsidRDefault="001571FE" w:rsidP="000978CC">
            <w:pPr>
              <w:ind w:left="0" w:firstLine="0"/>
              <w:jc w:val="right"/>
              <w:rPr>
                <w:rFonts w:asciiTheme="majorHAnsi" w:eastAsia="Arial" w:hAnsiTheme="majorHAnsi" w:cstheme="majorHAnsi"/>
              </w:rPr>
            </w:pPr>
          </w:p>
          <w:p w14:paraId="5C3CE559"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233</w:t>
            </w:r>
          </w:p>
        </w:tc>
      </w:tr>
      <w:tr w:rsidR="001571FE" w:rsidRPr="00005033" w14:paraId="75951BC2" w14:textId="77777777" w:rsidTr="000978CC">
        <w:trPr>
          <w:trHeight w:val="313"/>
        </w:trPr>
        <w:tc>
          <w:tcPr>
            <w:tcW w:w="3534" w:type="dxa"/>
          </w:tcPr>
          <w:p w14:paraId="15D0A18B" w14:textId="77777777" w:rsidR="001571FE" w:rsidRDefault="001571FE" w:rsidP="000978CC">
            <w:pPr>
              <w:ind w:left="0" w:firstLine="0"/>
              <w:rPr>
                <w:rFonts w:asciiTheme="majorHAnsi" w:eastAsia="Arial" w:hAnsiTheme="majorHAnsi" w:cstheme="majorHAnsi"/>
              </w:rPr>
            </w:pPr>
            <w:r>
              <w:rPr>
                <w:rFonts w:asciiTheme="majorHAnsi" w:eastAsia="Arial" w:hAnsiTheme="majorHAnsi" w:cstheme="majorHAnsi"/>
              </w:rPr>
              <w:t xml:space="preserve">     </w:t>
            </w:r>
            <w:r w:rsidRPr="00553746">
              <w:rPr>
                <w:rFonts w:asciiTheme="majorHAnsi" w:eastAsia="Arial" w:hAnsiTheme="majorHAnsi" w:cstheme="majorHAnsi"/>
              </w:rPr>
              <w:t xml:space="preserve">Applications approved </w:t>
            </w:r>
            <w:r>
              <w:rPr>
                <w:rFonts w:asciiTheme="majorHAnsi" w:eastAsia="Arial" w:hAnsiTheme="majorHAnsi" w:cstheme="majorHAnsi"/>
              </w:rPr>
              <w:t>&lt;</w:t>
            </w:r>
            <w:r w:rsidRPr="00553746">
              <w:rPr>
                <w:rFonts w:asciiTheme="majorHAnsi" w:eastAsia="Arial" w:hAnsiTheme="majorHAnsi" w:cstheme="majorHAnsi"/>
              </w:rPr>
              <w:t xml:space="preserve"> 270 days</w:t>
            </w:r>
          </w:p>
        </w:tc>
        <w:tc>
          <w:tcPr>
            <w:tcW w:w="1341" w:type="dxa"/>
          </w:tcPr>
          <w:p w14:paraId="7FD20B0A" w14:textId="77777777" w:rsidR="001571FE" w:rsidRPr="00005033" w:rsidRDefault="001571FE" w:rsidP="000978CC">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37FE6BA8" w14:textId="77777777" w:rsidR="001571FE" w:rsidRPr="00005033" w:rsidRDefault="001571FE" w:rsidP="000978CC">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27" w:type="dxa"/>
          </w:tcPr>
          <w:p w14:paraId="3674CA99" w14:textId="77777777" w:rsidR="001571FE" w:rsidRPr="00005033" w:rsidRDefault="001571FE" w:rsidP="000978CC">
            <w:pPr>
              <w:ind w:left="0" w:firstLine="0"/>
              <w:jc w:val="right"/>
              <w:rPr>
                <w:rFonts w:asciiTheme="majorHAnsi" w:eastAsia="Cambria" w:hAnsiTheme="majorHAnsi" w:cstheme="majorHAnsi"/>
                <w:color w:val="000000"/>
              </w:rPr>
            </w:pPr>
            <w:r>
              <w:rPr>
                <w:rFonts w:asciiTheme="majorHAnsi" w:eastAsia="Cambria" w:hAnsiTheme="majorHAnsi" w:cstheme="majorHAnsi"/>
                <w:color w:val="000000"/>
              </w:rPr>
              <w:t>99</w:t>
            </w:r>
          </w:p>
        </w:tc>
        <w:tc>
          <w:tcPr>
            <w:tcW w:w="1449" w:type="dxa"/>
          </w:tcPr>
          <w:p w14:paraId="398D1CC2" w14:textId="6954BA36" w:rsidR="001571FE" w:rsidRPr="00005033" w:rsidRDefault="006C49DC" w:rsidP="000978CC">
            <w:pPr>
              <w:ind w:left="0" w:firstLine="0"/>
              <w:jc w:val="right"/>
              <w:rPr>
                <w:rFonts w:asciiTheme="majorHAnsi" w:eastAsia="Arial" w:hAnsiTheme="majorHAnsi" w:cstheme="majorHAnsi"/>
              </w:rPr>
            </w:pPr>
            <w:r>
              <w:rPr>
                <w:rFonts w:asciiTheme="majorHAnsi" w:eastAsia="Arial" w:hAnsiTheme="majorHAnsi" w:cstheme="majorHAnsi"/>
              </w:rPr>
              <w:t>114</w:t>
            </w:r>
          </w:p>
        </w:tc>
      </w:tr>
      <w:tr w:rsidR="001571FE" w:rsidRPr="00005033" w14:paraId="1A400F77" w14:textId="77777777" w:rsidTr="000978CC">
        <w:trPr>
          <w:trHeight w:val="313"/>
        </w:trPr>
        <w:tc>
          <w:tcPr>
            <w:tcW w:w="3534" w:type="dxa"/>
          </w:tcPr>
          <w:p w14:paraId="7456E725" w14:textId="77777777" w:rsidR="001571FE" w:rsidRDefault="001571FE" w:rsidP="000978CC">
            <w:pPr>
              <w:ind w:left="0" w:firstLine="0"/>
              <w:rPr>
                <w:rFonts w:asciiTheme="majorHAnsi" w:eastAsia="Arial" w:hAnsiTheme="majorHAnsi" w:cstheme="majorHAnsi"/>
              </w:rPr>
            </w:pPr>
            <w:r>
              <w:rPr>
                <w:rFonts w:asciiTheme="majorHAnsi" w:eastAsia="Arial" w:hAnsiTheme="majorHAnsi" w:cstheme="majorHAnsi"/>
              </w:rPr>
              <w:t xml:space="preserve">     </w:t>
            </w:r>
            <w:r w:rsidRPr="00553746">
              <w:rPr>
                <w:rFonts w:asciiTheme="majorHAnsi" w:eastAsia="Arial" w:hAnsiTheme="majorHAnsi" w:cstheme="majorHAnsi"/>
              </w:rPr>
              <w:t xml:space="preserve">Applications approved </w:t>
            </w:r>
            <w:r>
              <w:rPr>
                <w:rFonts w:asciiTheme="majorHAnsi" w:eastAsia="Arial" w:hAnsiTheme="majorHAnsi" w:cstheme="majorHAnsi"/>
              </w:rPr>
              <w:t>&gt;</w:t>
            </w:r>
            <w:r w:rsidRPr="00553746">
              <w:rPr>
                <w:rFonts w:asciiTheme="majorHAnsi" w:eastAsia="Arial" w:hAnsiTheme="majorHAnsi" w:cstheme="majorHAnsi"/>
              </w:rPr>
              <w:t xml:space="preserve"> 270 days</w:t>
            </w:r>
          </w:p>
        </w:tc>
        <w:tc>
          <w:tcPr>
            <w:tcW w:w="1341" w:type="dxa"/>
          </w:tcPr>
          <w:p w14:paraId="44EE7871" w14:textId="77777777" w:rsidR="001571FE" w:rsidRPr="00005033" w:rsidRDefault="001571FE" w:rsidP="000978CC">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0B8F6696" w14:textId="77777777" w:rsidR="001571FE" w:rsidRPr="00005033" w:rsidRDefault="001571FE" w:rsidP="000978CC">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27" w:type="dxa"/>
          </w:tcPr>
          <w:p w14:paraId="175F52AD" w14:textId="77777777" w:rsidR="001571FE" w:rsidRPr="00005033" w:rsidRDefault="001571FE" w:rsidP="000978CC">
            <w:pPr>
              <w:ind w:left="0" w:firstLine="0"/>
              <w:jc w:val="right"/>
              <w:rPr>
                <w:rFonts w:asciiTheme="majorHAnsi" w:eastAsia="Cambria" w:hAnsiTheme="majorHAnsi" w:cstheme="majorHAnsi"/>
                <w:color w:val="000000"/>
              </w:rPr>
            </w:pPr>
            <w:r>
              <w:rPr>
                <w:rFonts w:asciiTheme="majorHAnsi" w:eastAsia="Cambria" w:hAnsiTheme="majorHAnsi" w:cstheme="majorHAnsi"/>
                <w:color w:val="000000"/>
              </w:rPr>
              <w:t>9</w:t>
            </w:r>
          </w:p>
        </w:tc>
        <w:tc>
          <w:tcPr>
            <w:tcW w:w="1449" w:type="dxa"/>
          </w:tcPr>
          <w:p w14:paraId="3EF36395" w14:textId="47D39F5B" w:rsidR="001571FE" w:rsidRPr="00005033" w:rsidRDefault="006C49DC" w:rsidP="000978CC">
            <w:pPr>
              <w:ind w:left="0" w:firstLine="0"/>
              <w:jc w:val="right"/>
              <w:rPr>
                <w:rFonts w:asciiTheme="majorHAnsi" w:eastAsia="Arial" w:hAnsiTheme="majorHAnsi" w:cstheme="majorHAnsi"/>
              </w:rPr>
            </w:pPr>
            <w:r>
              <w:rPr>
                <w:rFonts w:asciiTheme="majorHAnsi" w:eastAsia="Arial" w:hAnsiTheme="majorHAnsi" w:cstheme="majorHAnsi"/>
              </w:rPr>
              <w:t>51</w:t>
            </w:r>
          </w:p>
        </w:tc>
      </w:tr>
      <w:tr w:rsidR="001571FE" w:rsidRPr="00005033" w14:paraId="1993F4FA" w14:textId="77777777" w:rsidTr="000978CC">
        <w:trPr>
          <w:trHeight w:val="313"/>
        </w:trPr>
        <w:tc>
          <w:tcPr>
            <w:tcW w:w="8992" w:type="dxa"/>
            <w:gridSpan w:val="5"/>
          </w:tcPr>
          <w:p w14:paraId="269E14E2" w14:textId="77777777" w:rsidR="001571FE" w:rsidRPr="00553746" w:rsidRDefault="001571FE" w:rsidP="000978CC">
            <w:pPr>
              <w:ind w:left="0" w:firstLine="0"/>
              <w:rPr>
                <w:rFonts w:asciiTheme="majorHAnsi" w:eastAsia="Arial" w:hAnsiTheme="majorHAnsi" w:cstheme="majorHAnsi"/>
                <w:i/>
                <w:iCs/>
                <w:color w:val="4F81BD" w:themeColor="accent1"/>
              </w:rPr>
            </w:pPr>
            <w:r w:rsidRPr="00553746">
              <w:rPr>
                <w:rFonts w:asciiTheme="majorHAnsi" w:eastAsia="Arial" w:hAnsiTheme="majorHAnsi" w:cstheme="majorHAnsi"/>
                <w:i/>
                <w:iCs/>
                <w:color w:val="4F81BD" w:themeColor="accent1"/>
              </w:rPr>
              <w:t>Rejections</w:t>
            </w:r>
          </w:p>
        </w:tc>
      </w:tr>
      <w:tr w:rsidR="001571FE" w:rsidRPr="00005033" w14:paraId="21A5A46B" w14:textId="77777777" w:rsidTr="000978CC">
        <w:trPr>
          <w:trHeight w:val="313"/>
        </w:trPr>
        <w:tc>
          <w:tcPr>
            <w:tcW w:w="3534" w:type="dxa"/>
          </w:tcPr>
          <w:p w14:paraId="5C29CA40" w14:textId="77777777" w:rsidR="001571FE"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 xml:space="preserve">Applications </w:t>
            </w:r>
            <w:r w:rsidRPr="00553746">
              <w:rPr>
                <w:rFonts w:asciiTheme="majorHAnsi" w:eastAsia="Arial" w:hAnsiTheme="majorHAnsi" w:cstheme="majorHAnsi"/>
              </w:rPr>
              <w:t>r</w:t>
            </w:r>
            <w:r w:rsidRPr="00553746">
              <w:rPr>
                <w:rFonts w:asciiTheme="majorHAnsi" w:eastAsia="Arial" w:hAnsiTheme="majorHAnsi" w:cstheme="majorHAnsi"/>
                <w:color w:val="000000"/>
              </w:rPr>
              <w:t>ejected</w:t>
            </w:r>
          </w:p>
        </w:tc>
        <w:tc>
          <w:tcPr>
            <w:tcW w:w="1341" w:type="dxa"/>
          </w:tcPr>
          <w:p w14:paraId="4A40D244" w14:textId="77777777" w:rsidR="001571FE" w:rsidRPr="00005033" w:rsidRDefault="001571FE"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0</w:t>
            </w:r>
          </w:p>
        </w:tc>
        <w:tc>
          <w:tcPr>
            <w:tcW w:w="1341" w:type="dxa"/>
          </w:tcPr>
          <w:p w14:paraId="33CF4C73" w14:textId="77777777" w:rsidR="001571FE" w:rsidRPr="00005033" w:rsidRDefault="001571FE"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1</w:t>
            </w:r>
          </w:p>
        </w:tc>
        <w:tc>
          <w:tcPr>
            <w:tcW w:w="1327" w:type="dxa"/>
          </w:tcPr>
          <w:p w14:paraId="32B4B823"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2</w:t>
            </w:r>
          </w:p>
        </w:tc>
        <w:tc>
          <w:tcPr>
            <w:tcW w:w="1449" w:type="dxa"/>
          </w:tcPr>
          <w:p w14:paraId="5A08E0D1"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0</w:t>
            </w:r>
          </w:p>
        </w:tc>
      </w:tr>
      <w:tr w:rsidR="001571FE" w:rsidRPr="00005033" w14:paraId="29C29845" w14:textId="77777777" w:rsidTr="000978CC">
        <w:trPr>
          <w:trHeight w:val="372"/>
        </w:trPr>
        <w:tc>
          <w:tcPr>
            <w:tcW w:w="3534" w:type="dxa"/>
          </w:tcPr>
          <w:p w14:paraId="6AA16553" w14:textId="77777777" w:rsidR="001571FE" w:rsidRPr="00553746" w:rsidRDefault="001571FE" w:rsidP="000978CC">
            <w:pPr>
              <w:ind w:left="0" w:firstLine="0"/>
              <w:rPr>
                <w:rFonts w:asciiTheme="majorHAnsi" w:eastAsia="Arial" w:hAnsiTheme="majorHAnsi" w:cstheme="majorHAnsi"/>
                <w:color w:val="000000"/>
              </w:rPr>
            </w:pPr>
            <w:r w:rsidRPr="00553746">
              <w:rPr>
                <w:rFonts w:asciiTheme="majorHAnsi" w:eastAsia="Arial" w:hAnsiTheme="majorHAnsi" w:cstheme="majorHAnsi"/>
                <w:color w:val="000000"/>
              </w:rPr>
              <w:t xml:space="preserve">    </w:t>
            </w: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Average # days applications pending before rejection</w:t>
            </w:r>
          </w:p>
        </w:tc>
        <w:tc>
          <w:tcPr>
            <w:tcW w:w="1341" w:type="dxa"/>
          </w:tcPr>
          <w:p w14:paraId="4CB913CB" w14:textId="77777777" w:rsidR="001571FE" w:rsidRPr="00005033" w:rsidRDefault="001571FE" w:rsidP="000978CC">
            <w:pPr>
              <w:ind w:firstLine="0"/>
              <w:jc w:val="right"/>
              <w:rPr>
                <w:rFonts w:asciiTheme="majorHAnsi" w:eastAsia="Cambria" w:hAnsiTheme="majorHAnsi" w:cstheme="majorHAnsi"/>
                <w:color w:val="000000"/>
              </w:rPr>
            </w:pPr>
          </w:p>
          <w:p w14:paraId="73392923"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N/A</w:t>
            </w:r>
          </w:p>
        </w:tc>
        <w:tc>
          <w:tcPr>
            <w:tcW w:w="1341" w:type="dxa"/>
          </w:tcPr>
          <w:p w14:paraId="72EC0E1C" w14:textId="77777777" w:rsidR="001571FE" w:rsidRPr="00005033" w:rsidRDefault="001571FE" w:rsidP="000978CC">
            <w:pPr>
              <w:ind w:firstLine="0"/>
              <w:jc w:val="right"/>
              <w:rPr>
                <w:rFonts w:asciiTheme="majorHAnsi" w:eastAsia="Cambria" w:hAnsiTheme="majorHAnsi" w:cstheme="majorHAnsi"/>
                <w:color w:val="000000"/>
              </w:rPr>
            </w:pPr>
          </w:p>
          <w:p w14:paraId="64E645AD" w14:textId="77777777" w:rsidR="001571FE" w:rsidRPr="00005033" w:rsidRDefault="001571FE"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62</w:t>
            </w:r>
          </w:p>
        </w:tc>
        <w:tc>
          <w:tcPr>
            <w:tcW w:w="1327" w:type="dxa"/>
          </w:tcPr>
          <w:p w14:paraId="710BE146" w14:textId="77777777" w:rsidR="001571FE" w:rsidRPr="00005033" w:rsidRDefault="001571FE" w:rsidP="000978CC">
            <w:pPr>
              <w:ind w:left="0" w:firstLine="0"/>
              <w:jc w:val="right"/>
              <w:rPr>
                <w:rFonts w:asciiTheme="majorHAnsi" w:eastAsia="Arial" w:hAnsiTheme="majorHAnsi" w:cstheme="majorHAnsi"/>
              </w:rPr>
            </w:pPr>
          </w:p>
          <w:p w14:paraId="6FCE3C0E"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927</w:t>
            </w:r>
          </w:p>
        </w:tc>
        <w:tc>
          <w:tcPr>
            <w:tcW w:w="1449" w:type="dxa"/>
          </w:tcPr>
          <w:p w14:paraId="55E2C837" w14:textId="77777777" w:rsidR="001571FE" w:rsidRPr="00005033" w:rsidRDefault="001571FE" w:rsidP="000978CC">
            <w:pPr>
              <w:ind w:left="0" w:firstLine="0"/>
              <w:jc w:val="right"/>
              <w:rPr>
                <w:rFonts w:asciiTheme="majorHAnsi" w:eastAsia="Arial" w:hAnsiTheme="majorHAnsi" w:cstheme="majorHAnsi"/>
              </w:rPr>
            </w:pPr>
          </w:p>
          <w:p w14:paraId="7827CBCE"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N/A</w:t>
            </w:r>
          </w:p>
        </w:tc>
      </w:tr>
      <w:tr w:rsidR="001571FE" w:rsidRPr="00005033" w14:paraId="7EFD5123" w14:textId="77777777" w:rsidTr="000978CC">
        <w:trPr>
          <w:trHeight w:val="232"/>
        </w:trPr>
        <w:tc>
          <w:tcPr>
            <w:tcW w:w="3534" w:type="dxa"/>
          </w:tcPr>
          <w:p w14:paraId="2958616A" w14:textId="77777777" w:rsidR="001571FE" w:rsidRPr="00005033" w:rsidRDefault="001571FE" w:rsidP="000978CC">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authorized </w:t>
            </w:r>
          </w:p>
        </w:tc>
        <w:tc>
          <w:tcPr>
            <w:tcW w:w="1341" w:type="dxa"/>
          </w:tcPr>
          <w:p w14:paraId="3E9DEAE3"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82</w:t>
            </w:r>
          </w:p>
        </w:tc>
        <w:tc>
          <w:tcPr>
            <w:tcW w:w="1341" w:type="dxa"/>
          </w:tcPr>
          <w:p w14:paraId="4B48D5F7" w14:textId="77777777" w:rsidR="001571FE" w:rsidRPr="00005033" w:rsidRDefault="001571FE" w:rsidP="000978CC">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8</w:t>
            </w:r>
            <w:r>
              <w:rPr>
                <w:rFonts w:asciiTheme="majorHAnsi" w:eastAsia="Cambria" w:hAnsiTheme="majorHAnsi" w:cstheme="majorHAnsi"/>
                <w:color w:val="000000"/>
              </w:rPr>
              <w:t>6</w:t>
            </w:r>
          </w:p>
        </w:tc>
        <w:tc>
          <w:tcPr>
            <w:tcW w:w="1327" w:type="dxa"/>
          </w:tcPr>
          <w:p w14:paraId="444533DB" w14:textId="77777777" w:rsidR="001571FE" w:rsidRPr="00005033" w:rsidRDefault="001571FE" w:rsidP="000978CC">
            <w:pPr>
              <w:ind w:left="0" w:firstLine="0"/>
              <w:jc w:val="right"/>
              <w:rPr>
                <w:rFonts w:asciiTheme="majorHAnsi" w:eastAsia="Arial" w:hAnsiTheme="majorHAnsi" w:cstheme="majorHAnsi"/>
              </w:rPr>
            </w:pPr>
            <w:r w:rsidRPr="00005033">
              <w:rPr>
                <w:rFonts w:asciiTheme="majorHAnsi" w:eastAsia="Arial" w:hAnsiTheme="majorHAnsi" w:cstheme="majorHAnsi"/>
              </w:rPr>
              <w:t>86</w:t>
            </w:r>
          </w:p>
        </w:tc>
        <w:tc>
          <w:tcPr>
            <w:tcW w:w="1449" w:type="dxa"/>
          </w:tcPr>
          <w:p w14:paraId="2DE32B35"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74</w:t>
            </w:r>
          </w:p>
        </w:tc>
      </w:tr>
      <w:tr w:rsidR="001571FE" w:rsidRPr="00005033" w14:paraId="23E0C887" w14:textId="77777777" w:rsidTr="000978CC">
        <w:trPr>
          <w:trHeight w:val="232"/>
        </w:trPr>
        <w:tc>
          <w:tcPr>
            <w:tcW w:w="3534" w:type="dxa"/>
          </w:tcPr>
          <w:p w14:paraId="571EB774" w14:textId="77777777" w:rsidR="001571FE" w:rsidRPr="00005033" w:rsidRDefault="001571FE" w:rsidP="000978CC">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withdrawn </w:t>
            </w:r>
          </w:p>
        </w:tc>
        <w:tc>
          <w:tcPr>
            <w:tcW w:w="1341" w:type="dxa"/>
          </w:tcPr>
          <w:p w14:paraId="5070D433"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0</w:t>
            </w:r>
          </w:p>
        </w:tc>
        <w:tc>
          <w:tcPr>
            <w:tcW w:w="1341" w:type="dxa"/>
          </w:tcPr>
          <w:p w14:paraId="13899A6C" w14:textId="77777777" w:rsidR="001571FE" w:rsidRPr="00005033" w:rsidRDefault="001571FE"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2</w:t>
            </w:r>
          </w:p>
        </w:tc>
        <w:tc>
          <w:tcPr>
            <w:tcW w:w="1327" w:type="dxa"/>
          </w:tcPr>
          <w:p w14:paraId="20F5D84F"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6</w:t>
            </w:r>
          </w:p>
        </w:tc>
        <w:tc>
          <w:tcPr>
            <w:tcW w:w="1449" w:type="dxa"/>
          </w:tcPr>
          <w:p w14:paraId="12781596"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0</w:t>
            </w:r>
          </w:p>
        </w:tc>
      </w:tr>
      <w:tr w:rsidR="001571FE" w:rsidRPr="00005033" w14:paraId="318492FF" w14:textId="77777777" w:rsidTr="000978CC">
        <w:trPr>
          <w:trHeight w:val="179"/>
        </w:trPr>
        <w:tc>
          <w:tcPr>
            <w:tcW w:w="8992" w:type="dxa"/>
            <w:gridSpan w:val="5"/>
          </w:tcPr>
          <w:p w14:paraId="01799CE4" w14:textId="77777777" w:rsidR="001571FE" w:rsidRPr="003B6B1D" w:rsidRDefault="001571FE" w:rsidP="000978CC">
            <w:pPr>
              <w:ind w:left="0" w:firstLine="0"/>
              <w:rPr>
                <w:rFonts w:asciiTheme="majorHAnsi" w:eastAsia="Arial" w:hAnsiTheme="majorHAnsi" w:cstheme="majorHAnsi"/>
                <w:i/>
                <w:iCs/>
                <w:color w:val="4F81BD" w:themeColor="accent1"/>
              </w:rPr>
            </w:pPr>
            <w:r w:rsidRPr="003B6B1D">
              <w:rPr>
                <w:rFonts w:asciiTheme="majorHAnsi" w:eastAsia="Arial" w:hAnsiTheme="majorHAnsi" w:cstheme="majorHAnsi"/>
                <w:i/>
                <w:iCs/>
                <w:color w:val="4F81BD" w:themeColor="accent1"/>
              </w:rPr>
              <w:t>Pending</w:t>
            </w:r>
          </w:p>
        </w:tc>
      </w:tr>
      <w:tr w:rsidR="001571FE" w:rsidRPr="00005033" w14:paraId="18B98AD2" w14:textId="77777777" w:rsidTr="000978CC">
        <w:trPr>
          <w:trHeight w:val="179"/>
        </w:trPr>
        <w:tc>
          <w:tcPr>
            <w:tcW w:w="3534" w:type="dxa"/>
          </w:tcPr>
          <w:p w14:paraId="46081502" w14:textId="77777777" w:rsidR="001571FE" w:rsidRPr="00005033"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005033">
              <w:rPr>
                <w:rFonts w:asciiTheme="majorHAnsi" w:eastAsia="Arial" w:hAnsiTheme="majorHAnsi" w:cstheme="majorHAnsi"/>
                <w:color w:val="000000"/>
              </w:rPr>
              <w:t>Applications pending at the end of the reporting period</w:t>
            </w:r>
          </w:p>
        </w:tc>
        <w:tc>
          <w:tcPr>
            <w:tcW w:w="1341" w:type="dxa"/>
          </w:tcPr>
          <w:p w14:paraId="3F1AC0EF" w14:textId="77777777" w:rsidR="001571FE" w:rsidRPr="00005033" w:rsidRDefault="001571FE" w:rsidP="000978CC">
            <w:pPr>
              <w:ind w:firstLine="0"/>
              <w:jc w:val="right"/>
              <w:rPr>
                <w:rFonts w:asciiTheme="majorHAnsi" w:eastAsia="Cambria" w:hAnsiTheme="majorHAnsi" w:cstheme="majorHAnsi"/>
                <w:color w:val="000000"/>
              </w:rPr>
            </w:pPr>
          </w:p>
          <w:p w14:paraId="006872D6"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207</w:t>
            </w:r>
          </w:p>
        </w:tc>
        <w:tc>
          <w:tcPr>
            <w:tcW w:w="1341" w:type="dxa"/>
          </w:tcPr>
          <w:p w14:paraId="420A1F55" w14:textId="77777777" w:rsidR="001571FE" w:rsidRPr="00005033" w:rsidRDefault="001571FE" w:rsidP="000978CC">
            <w:pPr>
              <w:ind w:firstLine="0"/>
              <w:jc w:val="right"/>
              <w:rPr>
                <w:rFonts w:asciiTheme="majorHAnsi" w:eastAsia="Cambria" w:hAnsiTheme="majorHAnsi" w:cstheme="majorHAnsi"/>
                <w:color w:val="000000"/>
              </w:rPr>
            </w:pPr>
          </w:p>
          <w:p w14:paraId="1960E470" w14:textId="77777777" w:rsidR="001571FE" w:rsidRPr="00005033" w:rsidRDefault="001571FE" w:rsidP="000978CC">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20</w:t>
            </w:r>
            <w:r>
              <w:rPr>
                <w:rFonts w:asciiTheme="majorHAnsi" w:eastAsia="Cambria" w:hAnsiTheme="majorHAnsi" w:cstheme="majorHAnsi"/>
                <w:color w:val="000000"/>
              </w:rPr>
              <w:t>6</w:t>
            </w:r>
          </w:p>
        </w:tc>
        <w:tc>
          <w:tcPr>
            <w:tcW w:w="1327" w:type="dxa"/>
          </w:tcPr>
          <w:p w14:paraId="35285569" w14:textId="77777777" w:rsidR="001571FE" w:rsidRPr="00005033" w:rsidRDefault="001571FE" w:rsidP="000978CC">
            <w:pPr>
              <w:ind w:left="0" w:firstLine="0"/>
              <w:jc w:val="right"/>
              <w:rPr>
                <w:rFonts w:asciiTheme="majorHAnsi" w:eastAsia="Arial" w:hAnsiTheme="majorHAnsi" w:cstheme="majorHAnsi"/>
              </w:rPr>
            </w:pPr>
          </w:p>
          <w:p w14:paraId="676163E0" w14:textId="77777777" w:rsidR="001571FE" w:rsidRPr="00005033" w:rsidRDefault="001571FE" w:rsidP="000978CC">
            <w:pPr>
              <w:ind w:left="0" w:firstLine="0"/>
              <w:jc w:val="right"/>
              <w:rPr>
                <w:rFonts w:asciiTheme="majorHAnsi" w:eastAsia="Arial" w:hAnsiTheme="majorHAnsi" w:cstheme="majorHAnsi"/>
              </w:rPr>
            </w:pPr>
            <w:r w:rsidRPr="00005033">
              <w:rPr>
                <w:rFonts w:asciiTheme="majorHAnsi" w:eastAsia="Arial" w:hAnsiTheme="majorHAnsi" w:cstheme="majorHAnsi"/>
              </w:rPr>
              <w:t>2</w:t>
            </w:r>
            <w:r>
              <w:rPr>
                <w:rFonts w:asciiTheme="majorHAnsi" w:eastAsia="Arial" w:hAnsiTheme="majorHAnsi" w:cstheme="majorHAnsi"/>
              </w:rPr>
              <w:t>44</w:t>
            </w:r>
          </w:p>
        </w:tc>
        <w:tc>
          <w:tcPr>
            <w:tcW w:w="1449" w:type="dxa"/>
          </w:tcPr>
          <w:p w14:paraId="1E417433" w14:textId="77777777" w:rsidR="001571FE" w:rsidRPr="00005033" w:rsidRDefault="001571FE" w:rsidP="000978CC">
            <w:pPr>
              <w:ind w:left="0" w:firstLine="0"/>
              <w:jc w:val="right"/>
              <w:rPr>
                <w:rFonts w:asciiTheme="majorHAnsi" w:eastAsia="Arial" w:hAnsiTheme="majorHAnsi" w:cstheme="majorHAnsi"/>
              </w:rPr>
            </w:pPr>
          </w:p>
          <w:p w14:paraId="50138A9D" w14:textId="4756AE5A"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34</w:t>
            </w:r>
            <w:r w:rsidR="00156D92">
              <w:rPr>
                <w:rFonts w:asciiTheme="majorHAnsi" w:eastAsia="Arial" w:hAnsiTheme="majorHAnsi" w:cstheme="majorHAnsi"/>
              </w:rPr>
              <w:t>1</w:t>
            </w:r>
          </w:p>
        </w:tc>
      </w:tr>
      <w:tr w:rsidR="001571FE" w:rsidRPr="00005033" w14:paraId="45414070" w14:textId="77777777" w:rsidTr="000978CC">
        <w:trPr>
          <w:trHeight w:val="179"/>
        </w:trPr>
        <w:tc>
          <w:tcPr>
            <w:tcW w:w="3534" w:type="dxa"/>
          </w:tcPr>
          <w:p w14:paraId="210F4F57" w14:textId="77777777" w:rsidR="001571FE"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005033">
              <w:rPr>
                <w:rFonts w:asciiTheme="majorHAnsi" w:eastAsia="Arial" w:hAnsiTheme="majorHAnsi" w:cstheme="majorHAnsi"/>
                <w:color w:val="000000"/>
              </w:rPr>
              <w:t>Average number of days pending</w:t>
            </w:r>
          </w:p>
        </w:tc>
        <w:tc>
          <w:tcPr>
            <w:tcW w:w="1341" w:type="dxa"/>
          </w:tcPr>
          <w:p w14:paraId="63638728" w14:textId="77777777" w:rsidR="001571FE" w:rsidRPr="00005033" w:rsidRDefault="001571FE" w:rsidP="000978CC">
            <w:pPr>
              <w:ind w:firstLine="0"/>
              <w:jc w:val="center"/>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7C44FF77" w14:textId="77777777" w:rsidR="001571FE" w:rsidRPr="00005033" w:rsidRDefault="001571FE" w:rsidP="000978CC">
            <w:pPr>
              <w:ind w:firstLine="0"/>
              <w:jc w:val="center"/>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27" w:type="dxa"/>
          </w:tcPr>
          <w:p w14:paraId="7E0974AF" w14:textId="77777777" w:rsidR="001571FE" w:rsidRPr="00005033" w:rsidRDefault="001571FE" w:rsidP="000978CC">
            <w:pPr>
              <w:ind w:left="0" w:firstLine="0"/>
              <w:jc w:val="right"/>
              <w:rPr>
                <w:rFonts w:asciiTheme="majorHAnsi" w:eastAsia="Cambria" w:hAnsiTheme="majorHAnsi" w:cstheme="majorHAnsi"/>
                <w:color w:val="000000"/>
              </w:rPr>
            </w:pPr>
            <w:r>
              <w:rPr>
                <w:rFonts w:asciiTheme="majorHAnsi" w:eastAsia="Cambria" w:hAnsiTheme="majorHAnsi" w:cstheme="majorHAnsi"/>
                <w:color w:val="000000"/>
              </w:rPr>
              <w:t>250</w:t>
            </w:r>
          </w:p>
        </w:tc>
        <w:tc>
          <w:tcPr>
            <w:tcW w:w="1449" w:type="dxa"/>
          </w:tcPr>
          <w:p w14:paraId="4BCE5289"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320</w:t>
            </w:r>
          </w:p>
        </w:tc>
      </w:tr>
    </w:tbl>
    <w:p w14:paraId="7351ED63" w14:textId="77777777" w:rsidR="001571FE" w:rsidRPr="00CE2CFC" w:rsidRDefault="001571FE" w:rsidP="001571FE">
      <w:pPr>
        <w:spacing w:after="0" w:line="240" w:lineRule="auto"/>
        <w:ind w:left="0" w:firstLine="0"/>
        <w:rPr>
          <w:rFonts w:asciiTheme="majorHAnsi" w:eastAsia="Times New Roman" w:hAnsiTheme="majorHAnsi" w:cstheme="majorHAnsi"/>
          <w:sz w:val="18"/>
          <w:szCs w:val="18"/>
        </w:rPr>
      </w:pPr>
      <w:r w:rsidRPr="00CE2CFC">
        <w:rPr>
          <w:rFonts w:asciiTheme="majorHAnsi" w:eastAsia="Times New Roman" w:hAnsiTheme="majorHAnsi" w:cstheme="majorHAnsi"/>
          <w:b/>
          <w:sz w:val="18"/>
          <w:szCs w:val="18"/>
        </w:rPr>
        <w:t xml:space="preserve">Note:  </w:t>
      </w:r>
      <w:r w:rsidRPr="00CE2CFC">
        <w:rPr>
          <w:rFonts w:asciiTheme="majorHAnsi" w:eastAsia="Times New Roman" w:hAnsiTheme="majorHAnsi" w:cstheme="majorHAnsi"/>
          <w:sz w:val="18"/>
          <w:szCs w:val="18"/>
        </w:rPr>
        <w:t xml:space="preserve">The “N/A” denotes that the average number of days applications are pending before rejection cannot be calculated when agencies do not reject any applications during the reporting period. </w:t>
      </w:r>
    </w:p>
    <w:p w14:paraId="290CF3F7" w14:textId="77777777" w:rsidR="001571FE" w:rsidRPr="00CE2CFC" w:rsidRDefault="001571FE" w:rsidP="001571FE">
      <w:pPr>
        <w:spacing w:after="0" w:line="240" w:lineRule="auto"/>
        <w:ind w:left="0" w:firstLine="0"/>
        <w:rPr>
          <w:rFonts w:asciiTheme="minorHAnsi" w:eastAsia="Times New Roman" w:hAnsiTheme="minorHAnsi" w:cs="Times New Roman"/>
          <w:sz w:val="18"/>
          <w:szCs w:val="18"/>
        </w:rPr>
      </w:pPr>
      <w:r w:rsidRPr="00CE2CFC">
        <w:rPr>
          <w:rFonts w:asciiTheme="majorHAnsi" w:eastAsia="Cambria" w:hAnsiTheme="majorHAnsi" w:cstheme="majorHAnsi"/>
          <w:color w:val="000000"/>
          <w:sz w:val="18"/>
          <w:szCs w:val="18"/>
        </w:rPr>
        <w:t>—</w:t>
      </w:r>
      <w:r w:rsidRPr="00CE2CFC">
        <w:rPr>
          <w:rFonts w:asciiTheme="minorHAnsi" w:eastAsia="Times New Roman" w:hAnsiTheme="minorHAnsi" w:cs="Times New Roman"/>
          <w:sz w:val="18"/>
          <w:szCs w:val="18"/>
        </w:rPr>
        <w:t xml:space="preserve"> Data </w:t>
      </w:r>
      <w:r>
        <w:rPr>
          <w:rFonts w:asciiTheme="minorHAnsi" w:eastAsia="Times New Roman" w:hAnsiTheme="minorHAnsi" w:cs="Times New Roman"/>
          <w:sz w:val="18"/>
          <w:szCs w:val="18"/>
        </w:rPr>
        <w:t>un</w:t>
      </w:r>
      <w:r w:rsidRPr="00CE2CFC">
        <w:rPr>
          <w:rFonts w:asciiTheme="minorHAnsi" w:eastAsia="Times New Roman" w:hAnsiTheme="minorHAnsi" w:cs="Times New Roman"/>
          <w:sz w:val="18"/>
          <w:szCs w:val="18"/>
        </w:rPr>
        <w:t xml:space="preserve">available </w:t>
      </w:r>
      <w:r>
        <w:rPr>
          <w:rFonts w:asciiTheme="minorHAnsi" w:eastAsia="Times New Roman" w:hAnsiTheme="minorHAnsi" w:cs="Times New Roman"/>
          <w:sz w:val="18"/>
          <w:szCs w:val="18"/>
        </w:rPr>
        <w:t>prior to</w:t>
      </w:r>
      <w:r w:rsidRPr="00CE2CFC">
        <w:rPr>
          <w:rFonts w:asciiTheme="minorHAnsi" w:eastAsia="Times New Roman" w:hAnsiTheme="minorHAnsi" w:cs="Times New Roman"/>
          <w:sz w:val="18"/>
          <w:szCs w:val="18"/>
        </w:rPr>
        <w:t xml:space="preserve"> Q3 FY 22</w:t>
      </w:r>
    </w:p>
    <w:p w14:paraId="5DF9850A" w14:textId="77777777" w:rsidR="0073356E" w:rsidRDefault="0073356E">
      <w:pPr>
        <w:spacing w:after="0" w:line="240" w:lineRule="auto"/>
        <w:ind w:left="0" w:firstLine="0"/>
        <w:rPr>
          <w:rFonts w:asciiTheme="minorHAnsi" w:eastAsia="Times New Roman" w:hAnsiTheme="minorHAnsi" w:cs="Times New Roman"/>
          <w:sz w:val="20"/>
          <w:szCs w:val="20"/>
        </w:rPr>
      </w:pPr>
    </w:p>
    <w:p w14:paraId="4721E131" w14:textId="43DE0B96" w:rsidR="00F32D0E" w:rsidRDefault="00F32D0E">
      <w:pPr>
        <w:spacing w:after="0" w:line="240" w:lineRule="auto"/>
        <w:ind w:left="0" w:firstLine="0"/>
        <w:rPr>
          <w:rFonts w:asciiTheme="minorHAnsi" w:eastAsia="Times New Roman" w:hAnsiTheme="minorHAnsi" w:cs="Times New Roman"/>
          <w:sz w:val="20"/>
          <w:szCs w:val="20"/>
        </w:rPr>
      </w:pPr>
    </w:p>
    <w:p w14:paraId="386F64B7" w14:textId="7266D11F" w:rsidR="00C22E38" w:rsidRDefault="00C22E38">
      <w:pPr>
        <w:spacing w:after="0" w:line="240" w:lineRule="auto"/>
        <w:ind w:left="0" w:firstLine="0"/>
        <w:rPr>
          <w:rFonts w:asciiTheme="minorHAnsi" w:eastAsia="Times New Roman" w:hAnsiTheme="minorHAnsi" w:cs="Times New Roman"/>
          <w:sz w:val="20"/>
          <w:szCs w:val="20"/>
        </w:rPr>
      </w:pPr>
    </w:p>
    <w:p w14:paraId="6D718F3D" w14:textId="77777777" w:rsidR="00C22E38" w:rsidRDefault="00C22E38">
      <w:pPr>
        <w:spacing w:after="0" w:line="240" w:lineRule="auto"/>
        <w:ind w:left="0" w:firstLine="0"/>
        <w:rPr>
          <w:rFonts w:asciiTheme="minorHAnsi" w:eastAsia="Times New Roman" w:hAnsiTheme="minorHAnsi" w:cs="Times New Roman"/>
          <w:sz w:val="20"/>
          <w:szCs w:val="20"/>
        </w:rPr>
      </w:pPr>
    </w:p>
    <w:p w14:paraId="1C9DD549" w14:textId="66C4E121" w:rsidR="00F32D0E" w:rsidRDefault="00F32D0E">
      <w:pPr>
        <w:spacing w:after="0" w:line="240" w:lineRule="auto"/>
        <w:ind w:left="0" w:firstLine="0"/>
        <w:rPr>
          <w:rFonts w:asciiTheme="minorHAnsi" w:eastAsia="Times New Roman" w:hAnsiTheme="minorHAnsi" w:cs="Times New Roman"/>
          <w:sz w:val="20"/>
          <w:szCs w:val="20"/>
        </w:rPr>
      </w:pPr>
      <w:r>
        <w:rPr>
          <w:rFonts w:ascii="Times New Roman" w:eastAsia="Times New Roman" w:hAnsi="Times New Roman" w:cs="Times New Roman"/>
          <w:noProof/>
          <w:sz w:val="24"/>
          <w:szCs w:val="24"/>
        </w:rPr>
        <w:lastRenderedPageBreak/>
        <w:drawing>
          <wp:inline distT="0" distB="0" distL="0" distR="0" wp14:anchorId="29FD8EC0" wp14:editId="3515A4E6">
            <wp:extent cx="5734050" cy="3200400"/>
            <wp:effectExtent l="0" t="0" r="0" b="0"/>
            <wp:docPr id="4" name="Chart 4" descr="This is a line graph of the number of applications received per quarter. There is a slight decrease in Quarter 3 and a large increase in Quarter 4. Refer to Table 1 for raw data.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052AFD" w14:textId="685A46AC" w:rsidR="00FE3CA0" w:rsidRDefault="007213CB">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D795F0" w14:textId="33BA5FF6" w:rsidR="0073205E" w:rsidRDefault="007320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0F9AFE" wp14:editId="40272183">
            <wp:extent cx="5486400" cy="3721100"/>
            <wp:effectExtent l="0" t="0" r="0" b="12700"/>
            <wp:docPr id="2" name="Chart 2" descr="Figure 2 is showing the number of applications approved from Quarter 1 through Quarter 4 of Fiscal Year 2022. &#10;&#10;It also shows the average number of days applications were pending each quarter.  &#10;&#10;Applications approved took a slight dip in Q3 of Fiscal Year 2022 and then increased in Q4 of Fiscal Year 2022. &#10;&#10;Please refer to raw data in Table 1.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E4BA5C" w14:textId="5C8C1FED" w:rsidR="00FE3CA0" w:rsidRDefault="00FE3CA0">
      <w:pPr>
        <w:ind w:left="0" w:firstLine="0"/>
        <w:jc w:val="both"/>
        <w:rPr>
          <w:rFonts w:ascii="Times New Roman" w:eastAsia="Times New Roman" w:hAnsi="Times New Roman" w:cs="Times New Roman"/>
          <w:sz w:val="24"/>
          <w:szCs w:val="24"/>
        </w:rPr>
      </w:pPr>
    </w:p>
    <w:p w14:paraId="0AC56C84" w14:textId="77777777" w:rsidR="00C22E38" w:rsidRDefault="00C22E38" w:rsidP="00D37B32">
      <w:pPr>
        <w:ind w:left="0" w:firstLine="0"/>
        <w:jc w:val="both"/>
        <w:rPr>
          <w:rFonts w:ascii="Calibri Light" w:eastAsia="Times New Roman" w:hAnsi="Calibri Light" w:cs="Calibri Light"/>
          <w:sz w:val="24"/>
          <w:szCs w:val="24"/>
        </w:rPr>
      </w:pPr>
    </w:p>
    <w:p w14:paraId="5E0F0098" w14:textId="77777777" w:rsidR="00471282" w:rsidRDefault="00471282" w:rsidP="00471282">
      <w:pPr>
        <w:pStyle w:val="NormalWeb"/>
        <w:spacing w:before="0" w:beforeAutospacing="0" w:after="160" w:afterAutospacing="0"/>
        <w:jc w:val="both"/>
      </w:pPr>
      <w:r>
        <w:rPr>
          <w:rFonts w:ascii="Calibri" w:hAnsi="Calibri" w:cs="Calibri"/>
          <w:color w:val="000000"/>
        </w:rPr>
        <w:lastRenderedPageBreak/>
        <w:t>The number of applications approved, pending or rejected during Q4 of FY 2022 is not directly tied to the total number of applications received by the agencies during this reporting period.  This is attributable to a continuous backlog in processing pending applications.  OMB, GSA and the SFP continue to encourage agencies to be more proactive in the processing of applications.  Changes in the data resulting from the targeted outreach to agencies, as well as other factors, are outlined below.</w:t>
      </w:r>
    </w:p>
    <w:p w14:paraId="0096A34F" w14:textId="77777777" w:rsidR="00471282" w:rsidRDefault="00471282" w:rsidP="00471282">
      <w:pPr>
        <w:pStyle w:val="NormalWeb"/>
        <w:numPr>
          <w:ilvl w:val="0"/>
          <w:numId w:val="7"/>
        </w:numPr>
        <w:spacing w:before="0" w:beforeAutospacing="0" w:after="160" w:afterAutospacing="0"/>
        <w:jc w:val="both"/>
        <w:textAlignment w:val="baseline"/>
        <w:rPr>
          <w:rFonts w:ascii="Calibri" w:hAnsi="Calibri" w:cs="Calibri"/>
          <w:color w:val="000000"/>
        </w:rPr>
      </w:pPr>
      <w:r>
        <w:rPr>
          <w:rFonts w:ascii="Calibri" w:hAnsi="Calibri" w:cs="Calibri"/>
          <w:color w:val="000000"/>
        </w:rPr>
        <w:t>The number of applications received by Federal property managing agencies increased from 154 in the third quarter (Q3) of FY 2022 to 262 in Q4 of FY 2022 (see Figure 1 and Table 1, above).  Some agencies noted that companies cited an increase in broadband demand in Q4 of FY 2022 due to greater enthusiasm for the new 5G technology that more companies are now offering for high-speed internet.  </w:t>
      </w:r>
    </w:p>
    <w:p w14:paraId="2E03CA3E" w14:textId="63DE69F2" w:rsidR="00471282" w:rsidRDefault="00471282" w:rsidP="00471282">
      <w:pPr>
        <w:pStyle w:val="NormalWeb"/>
        <w:numPr>
          <w:ilvl w:val="0"/>
          <w:numId w:val="7"/>
        </w:numPr>
        <w:spacing w:before="0" w:beforeAutospacing="0" w:after="160" w:afterAutospacing="0"/>
        <w:jc w:val="both"/>
        <w:textAlignment w:val="baseline"/>
        <w:rPr>
          <w:rFonts w:ascii="Calibri" w:hAnsi="Calibri" w:cs="Calibri"/>
          <w:color w:val="000000"/>
        </w:rPr>
      </w:pPr>
      <w:r>
        <w:rPr>
          <w:rFonts w:ascii="Calibri" w:hAnsi="Calibri" w:cs="Calibri"/>
          <w:color w:val="000000"/>
        </w:rPr>
        <w:t>The number of applications approved increased from 108 in Q3 of FY 2022 to 165 in Q4 of FY 2022, while the number of applications authorized decreased from 86 in Q3 of FY 2022 to 74 in Q4 of FY 2022 (see Table 1 and Figure 2, above).  Agencies were not able to attribute the increase in the number of applications approved to any specific reason but noted that field offices are consistently holding training in areas such as customer engagement and site inspection with the goal of increasing the number of broadband applications approved every quarter.  Agencies did not cite a specific cause for the decrease in the number of authorized applications during this reporting period.  Of the 165 applications approved, 114 were approved within the 270-day statutory time frame, while 51 of the applications required more than 270 days to be approved. </w:t>
      </w:r>
    </w:p>
    <w:p w14:paraId="62727D5F" w14:textId="3E238D5E" w:rsidR="00471282" w:rsidRDefault="00471282" w:rsidP="00471282">
      <w:pPr>
        <w:pStyle w:val="NormalWeb"/>
        <w:numPr>
          <w:ilvl w:val="0"/>
          <w:numId w:val="7"/>
        </w:numPr>
        <w:spacing w:before="0" w:beforeAutospacing="0" w:after="160" w:afterAutospacing="0"/>
        <w:jc w:val="both"/>
        <w:textAlignment w:val="baseline"/>
        <w:rPr>
          <w:rFonts w:ascii="Calibri" w:hAnsi="Calibri" w:cs="Calibri"/>
          <w:color w:val="000000"/>
        </w:rPr>
      </w:pPr>
      <w:r>
        <w:rPr>
          <w:rFonts w:ascii="Calibri" w:hAnsi="Calibri" w:cs="Calibri"/>
          <w:color w:val="000000"/>
        </w:rPr>
        <w:t>The average number of days applications were pending prior to approval increased from 188 days in Q3 of FY 2022 to 233 days in Q4 of FY 2022 (see Table 1 and Figure 2, above). Agencies did not cite a singular reason for the increase but noted that field office staff regularly receive training to work with applicants to ensure that siting permits are filled out correctly during the initial submission. </w:t>
      </w:r>
    </w:p>
    <w:p w14:paraId="5D408A7A" w14:textId="77777777" w:rsidR="00471282" w:rsidRDefault="00471282" w:rsidP="00471282">
      <w:pPr>
        <w:pStyle w:val="NormalWeb"/>
        <w:numPr>
          <w:ilvl w:val="0"/>
          <w:numId w:val="7"/>
        </w:numPr>
        <w:spacing w:before="0" w:beforeAutospacing="0" w:after="160" w:afterAutospacing="0"/>
        <w:jc w:val="both"/>
        <w:textAlignment w:val="baseline"/>
        <w:rPr>
          <w:rFonts w:ascii="Calibri" w:hAnsi="Calibri" w:cs="Calibri"/>
          <w:color w:val="000000"/>
        </w:rPr>
      </w:pPr>
      <w:r>
        <w:rPr>
          <w:rFonts w:ascii="Calibri" w:hAnsi="Calibri" w:cs="Calibri"/>
          <w:color w:val="000000"/>
        </w:rPr>
        <w:t>There were no applications withdrawn or rejected during this reporting period. </w:t>
      </w:r>
    </w:p>
    <w:p w14:paraId="100D4E21" w14:textId="77777777" w:rsidR="00471282" w:rsidRDefault="00471282" w:rsidP="00471282">
      <w:pPr>
        <w:pStyle w:val="NormalWeb"/>
        <w:numPr>
          <w:ilvl w:val="0"/>
          <w:numId w:val="7"/>
        </w:numPr>
        <w:spacing w:before="0" w:beforeAutospacing="0" w:after="160" w:afterAutospacing="0"/>
        <w:jc w:val="both"/>
        <w:textAlignment w:val="baseline"/>
        <w:rPr>
          <w:rFonts w:ascii="Calibri" w:hAnsi="Calibri" w:cs="Calibri"/>
          <w:color w:val="000000"/>
        </w:rPr>
      </w:pPr>
      <w:r>
        <w:rPr>
          <w:rFonts w:ascii="Calibri" w:hAnsi="Calibri" w:cs="Calibri"/>
          <w:color w:val="000000"/>
        </w:rPr>
        <w:t>The number of applications pending increased from 244 at the end of Q3 of FY 2022 to 341 in Q4 of FY 2022 (see Table 1, above).  This increase in the number of applications pending is linked to the increase in applications received as explained in the first bulleted paragraph above.  The number of applications pending at the end of the current reporting period (Q4 of FY 2022) was calculated by adding the number of applications pending from the previous quarter (Q3 of FY 2022) (</w:t>
      </w:r>
      <w:r>
        <w:rPr>
          <w:rFonts w:ascii="Calibri" w:hAnsi="Calibri" w:cs="Calibri"/>
          <w:i/>
          <w:iCs/>
          <w:color w:val="000000"/>
        </w:rPr>
        <w:t>i.e.</w:t>
      </w:r>
      <w:r>
        <w:rPr>
          <w:rFonts w:ascii="Calibri" w:hAnsi="Calibri" w:cs="Calibri"/>
          <w:color w:val="000000"/>
        </w:rPr>
        <w:t>, 244) to the number of applications received during Q4 of FY 2022 (</w:t>
      </w:r>
      <w:r>
        <w:rPr>
          <w:rFonts w:ascii="Calibri" w:hAnsi="Calibri" w:cs="Calibri"/>
          <w:i/>
          <w:iCs/>
          <w:color w:val="000000"/>
        </w:rPr>
        <w:t>i.e.</w:t>
      </w:r>
      <w:r>
        <w:rPr>
          <w:rFonts w:ascii="Calibri" w:hAnsi="Calibri" w:cs="Calibri"/>
          <w:color w:val="000000"/>
        </w:rPr>
        <w:t>, 262).  From this total, GSA staff then subtracted the number approved (</w:t>
      </w:r>
      <w:r>
        <w:rPr>
          <w:rFonts w:ascii="Calibri" w:hAnsi="Calibri" w:cs="Calibri"/>
          <w:i/>
          <w:iCs/>
          <w:color w:val="000000"/>
        </w:rPr>
        <w:t>i.e.</w:t>
      </w:r>
      <w:r>
        <w:rPr>
          <w:rFonts w:ascii="Calibri" w:hAnsi="Calibri" w:cs="Calibri"/>
          <w:color w:val="000000"/>
        </w:rPr>
        <w:t>, 165), the number withdrawn (</w:t>
      </w:r>
      <w:r>
        <w:rPr>
          <w:rFonts w:ascii="Calibri" w:hAnsi="Calibri" w:cs="Calibri"/>
          <w:i/>
          <w:iCs/>
          <w:color w:val="000000"/>
        </w:rPr>
        <w:t>i.e.</w:t>
      </w:r>
      <w:r>
        <w:rPr>
          <w:rFonts w:ascii="Calibri" w:hAnsi="Calibri" w:cs="Calibri"/>
          <w:color w:val="000000"/>
        </w:rPr>
        <w:t>, 0) and the number rejected (</w:t>
      </w:r>
      <w:r>
        <w:rPr>
          <w:rFonts w:ascii="Calibri" w:hAnsi="Calibri" w:cs="Calibri"/>
          <w:i/>
          <w:iCs/>
          <w:color w:val="000000"/>
        </w:rPr>
        <w:t>i.e.</w:t>
      </w:r>
      <w:r>
        <w:rPr>
          <w:rFonts w:ascii="Calibri" w:hAnsi="Calibri" w:cs="Calibri"/>
          <w:color w:val="000000"/>
        </w:rPr>
        <w:t>, 0) in Q4 of FY 2022.  The applications remaining at the end of the quarter had an average pending time of 320 days.  This figure is most likely the result of inconsistent approaches to counting what constitutes a newly received application and when the timeline starts.  Agencies have noted that some field offices count receipt of a new application from the moment any part of the application is received (</w:t>
      </w:r>
      <w:r>
        <w:rPr>
          <w:rFonts w:ascii="Calibri" w:hAnsi="Calibri" w:cs="Calibri"/>
          <w:i/>
          <w:iCs/>
          <w:color w:val="000000"/>
        </w:rPr>
        <w:t>i.e.</w:t>
      </w:r>
      <w:r>
        <w:rPr>
          <w:rFonts w:ascii="Calibri" w:hAnsi="Calibri" w:cs="Calibri"/>
          <w:color w:val="000000"/>
        </w:rPr>
        <w:t xml:space="preserve">, an incomplete application), while others wait until a fully completed application is received to start the clock.  GSA is </w:t>
      </w:r>
      <w:r>
        <w:rPr>
          <w:rFonts w:ascii="Calibri" w:hAnsi="Calibri" w:cs="Calibri"/>
          <w:color w:val="000000"/>
        </w:rPr>
        <w:lastRenderedPageBreak/>
        <w:t>aware of this issue and has been working with agencies to adopt a more consistent approach to logging and counting new and pending applications. </w:t>
      </w:r>
    </w:p>
    <w:p w14:paraId="6062E78E" w14:textId="0CAED267" w:rsidR="00985B19" w:rsidRPr="002D5B06" w:rsidRDefault="00985B19" w:rsidP="00985B19">
      <w:pPr>
        <w:numPr>
          <w:ilvl w:val="0"/>
          <w:numId w:val="7"/>
        </w:numPr>
        <w:jc w:val="both"/>
        <w:rPr>
          <w:rFonts w:ascii="Calibri Light" w:eastAsia="Times New Roman" w:hAnsi="Calibri Light" w:cs="Calibri Light"/>
          <w:sz w:val="24"/>
          <w:szCs w:val="24"/>
        </w:rPr>
        <w:sectPr w:rsidR="00985B19" w:rsidRPr="002D5B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14:paraId="503845BA"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9D7C731"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1.  Does your agency have custody and control of, or responsibility for managing:  federal lands, buildings and rights of way; federally assisted highways; or tribal lands?  If yes, please answer question 2. </w:t>
      </w:r>
    </w:p>
    <w:p w14:paraId="06015562" w14:textId="77777777" w:rsidR="00B34815" w:rsidRPr="003F58EE" w:rsidRDefault="00B34815">
      <w:pPr>
        <w:pBdr>
          <w:top w:val="nil"/>
          <w:left w:val="nil"/>
          <w:bottom w:val="nil"/>
          <w:right w:val="nil"/>
          <w:between w:val="nil"/>
        </w:pBdr>
        <w:spacing w:after="0" w:line="240" w:lineRule="auto"/>
        <w:ind w:left="360" w:firstLine="0"/>
        <w:jc w:val="both"/>
        <w:rPr>
          <w:rFonts w:ascii="Calibri Light" w:eastAsia="Times New Roman" w:hAnsi="Calibri Light" w:cs="Calibri Light"/>
          <w:color w:val="000000"/>
          <w:sz w:val="24"/>
          <w:szCs w:val="24"/>
        </w:rPr>
      </w:pPr>
    </w:p>
    <w:p w14:paraId="7C353503"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2.  Did your agency process any applications during the preceding quarter? </w:t>
      </w:r>
    </w:p>
    <w:p w14:paraId="203FBEEF" w14:textId="41178E1F"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For the purposes of this survey, "applications" refer to </w:t>
      </w:r>
      <w:r w:rsidRPr="003F58EE">
        <w:rPr>
          <w:rFonts w:ascii="Calibri Light" w:eastAsia="Times New Roman" w:hAnsi="Calibri Light" w:cs="Calibri Light"/>
          <w:sz w:val="24"/>
          <w:szCs w:val="24"/>
        </w:rPr>
        <w:t>the</w:t>
      </w:r>
      <w:r w:rsidRPr="003F58EE">
        <w:rPr>
          <w:rFonts w:ascii="Calibri Light" w:eastAsia="Times New Roman" w:hAnsi="Calibri Light" w:cs="Calibri Light"/>
          <w:color w:val="000000"/>
          <w:sz w:val="24"/>
          <w:szCs w:val="24"/>
        </w:rPr>
        <w:t xml:space="preserve"> r</w:t>
      </w:r>
      <w:r w:rsidRPr="003F58EE">
        <w:rPr>
          <w:rFonts w:ascii="Calibri Light" w:eastAsia="Times New Roman" w:hAnsi="Calibri Light" w:cs="Calibri Light"/>
          <w:sz w:val="24"/>
          <w:szCs w:val="24"/>
        </w:rPr>
        <w:t>evised</w:t>
      </w:r>
      <w:r w:rsidRPr="003F58EE">
        <w:rPr>
          <w:rFonts w:ascii="Calibri Light" w:eastAsia="Times New Roman" w:hAnsi="Calibri Light" w:cs="Calibri Light"/>
          <w:color w:val="000000"/>
          <w:sz w:val="24"/>
          <w:szCs w:val="24"/>
        </w:rPr>
        <w:t xml:space="preserve"> SF-299 or similar application</w:t>
      </w:r>
      <w:r w:rsidR="007354D9">
        <w:rPr>
          <w:rFonts w:ascii="Calibri Light" w:eastAsia="Times New Roman" w:hAnsi="Calibri Light" w:cs="Calibri Light"/>
          <w:color w:val="000000"/>
          <w:sz w:val="24"/>
          <w:szCs w:val="24"/>
        </w:rPr>
        <w:t>.</w:t>
      </w:r>
    </w:p>
    <w:p w14:paraId="488CA0A1"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55FB171B"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If an agency answers “yes” to both questions 1 and 2, they must enter detailed-level data in a spreadsheet for each application received. </w:t>
      </w:r>
    </w:p>
    <w:p w14:paraId="1CB23FC0"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7D447386"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3.  For each permit received or processed, enter the respective information in the columns below. Please enter information on all permits submitted in previous quarters.</w:t>
      </w:r>
    </w:p>
    <w:p w14:paraId="4610E686"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1686C7D"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The spreadsheet data fields include the following:</w:t>
      </w:r>
    </w:p>
    <w:p w14:paraId="6E16A7A9"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Agency/Bureau</w:t>
      </w:r>
    </w:p>
    <w:p w14:paraId="762AFDB2"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Permit Application ID</w:t>
      </w:r>
    </w:p>
    <w:p w14:paraId="6A5386E1"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Submittal date</w:t>
      </w:r>
    </w:p>
    <w:p w14:paraId="216A5143"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Status </w:t>
      </w:r>
    </w:p>
    <w:p w14:paraId="06BC43EC"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Approved</w:t>
      </w:r>
    </w:p>
    <w:p w14:paraId="7F865A45"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Rejected</w:t>
      </w:r>
    </w:p>
    <w:p w14:paraId="60420958"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Pending </w:t>
      </w:r>
    </w:p>
    <w:p w14:paraId="606D4D9B"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Withdrawn</w:t>
      </w:r>
    </w:p>
    <w:p w14:paraId="5C472EF0"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Authorized</w:t>
      </w:r>
    </w:p>
    <w:p w14:paraId="31E0A227"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If approved, date approved; if rejected, date rejected; if withdrawn, date withdrawn; if authorized, date authorized </w:t>
      </w:r>
    </w:p>
    <w:p w14:paraId="11B97A67"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Reason for rejection</w:t>
      </w:r>
    </w:p>
    <w:p w14:paraId="139978CB"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Inaccurate information</w:t>
      </w:r>
    </w:p>
    <w:p w14:paraId="01BBC024"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Incomplete application</w:t>
      </w:r>
    </w:p>
    <w:p w14:paraId="772B1478" w14:textId="77777777" w:rsidR="009109AA" w:rsidRDefault="007213CB">
      <w:pPr>
        <w:numPr>
          <w:ilvl w:val="1"/>
          <w:numId w:val="2"/>
        </w:numPr>
        <w:pBdr>
          <w:top w:val="nil"/>
          <w:left w:val="nil"/>
          <w:bottom w:val="nil"/>
          <w:right w:val="nil"/>
          <w:between w:val="nil"/>
        </w:pBdr>
        <w:spacing w:after="0"/>
        <w:jc w:val="both"/>
        <w:rPr>
          <w:rFonts w:ascii="Calibri Light" w:eastAsia="Times New Roman" w:hAnsi="Calibri Light" w:cs="Calibri Light"/>
          <w:sz w:val="24"/>
          <w:szCs w:val="24"/>
        </w:rPr>
        <w:sectPr w:rsidR="009109AA">
          <w:headerReference w:type="default" r:id="rId16"/>
          <w:pgSz w:w="12240" w:h="15840"/>
          <w:pgMar w:top="1440" w:right="1440" w:bottom="1440" w:left="1440" w:header="720" w:footer="720" w:gutter="0"/>
          <w:cols w:space="720"/>
        </w:sectPr>
      </w:pPr>
      <w:r w:rsidRPr="003F58EE">
        <w:rPr>
          <w:rFonts w:ascii="Calibri Light" w:eastAsia="Times New Roman" w:hAnsi="Calibri Light" w:cs="Calibri Light"/>
          <w:color w:val="000000"/>
          <w:sz w:val="24"/>
          <w:szCs w:val="24"/>
        </w:rPr>
        <w:t>Oth</w:t>
      </w:r>
      <w:r w:rsidRPr="003F58EE">
        <w:rPr>
          <w:rFonts w:ascii="Calibri Light" w:eastAsia="Times New Roman" w:hAnsi="Calibri Light" w:cs="Calibri Light"/>
          <w:sz w:val="24"/>
          <w:szCs w:val="24"/>
        </w:rPr>
        <w:t>er</w:t>
      </w:r>
    </w:p>
    <w:p w14:paraId="7404B992" w14:textId="3D867470" w:rsidR="00B34815" w:rsidRDefault="00E33534">
      <w:pPr>
        <w:ind w:left="0" w:firstLine="0"/>
        <w:rPr>
          <w:rFonts w:ascii="Arial" w:eastAsia="Arial" w:hAnsi="Arial" w:cs="Arial"/>
          <w:sz w:val="20"/>
          <w:szCs w:val="20"/>
        </w:rPr>
      </w:pPr>
      <w:r>
        <w:rPr>
          <w:color w:val="000000"/>
        </w:rPr>
        <w:lastRenderedPageBreak/>
        <w:t>Appendix B lists all the Federal property managing agencies and bureaus that GSA surveyed, and which agencies responded to the survey.</w:t>
      </w:r>
    </w:p>
    <w:tbl>
      <w:tblPr>
        <w:tblStyle w:val="2"/>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140"/>
        <w:gridCol w:w="6285"/>
        <w:gridCol w:w="1950"/>
      </w:tblGrid>
      <w:tr w:rsidR="00E33534" w14:paraId="79E83DC6" w14:textId="77777777" w:rsidTr="00851662">
        <w:trPr>
          <w:trHeight w:val="212"/>
          <w:jc w:val="center"/>
        </w:trPr>
        <w:tc>
          <w:tcPr>
            <w:tcW w:w="1140" w:type="dxa"/>
            <w:shd w:val="clear" w:color="auto" w:fill="0070C0"/>
          </w:tcPr>
          <w:p w14:paraId="383F0E43"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 xml:space="preserve">No. </w:t>
            </w:r>
          </w:p>
        </w:tc>
        <w:tc>
          <w:tcPr>
            <w:tcW w:w="6285" w:type="dxa"/>
            <w:shd w:val="clear" w:color="auto" w:fill="0070C0"/>
          </w:tcPr>
          <w:p w14:paraId="6612FF1F"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Agency/Bureau</w:t>
            </w:r>
          </w:p>
        </w:tc>
        <w:tc>
          <w:tcPr>
            <w:tcW w:w="1950" w:type="dxa"/>
            <w:shd w:val="clear" w:color="auto" w:fill="0070C0"/>
          </w:tcPr>
          <w:p w14:paraId="01D23FDA"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Survey Response Received</w:t>
            </w:r>
          </w:p>
        </w:tc>
      </w:tr>
      <w:tr w:rsidR="00E33534" w14:paraId="18E9C742" w14:textId="77777777" w:rsidTr="00851662">
        <w:trPr>
          <w:jc w:val="center"/>
        </w:trPr>
        <w:tc>
          <w:tcPr>
            <w:tcW w:w="1140" w:type="dxa"/>
          </w:tcPr>
          <w:p w14:paraId="5D96BBE2" w14:textId="77777777" w:rsidR="00E33534" w:rsidRPr="009F7F5C" w:rsidRDefault="00E33534" w:rsidP="00123122">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1</w:t>
            </w:r>
          </w:p>
        </w:tc>
        <w:tc>
          <w:tcPr>
            <w:tcW w:w="6285" w:type="dxa"/>
          </w:tcPr>
          <w:p w14:paraId="7AB2ADAE"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Agency for Global Media</w:t>
            </w:r>
          </w:p>
        </w:tc>
        <w:tc>
          <w:tcPr>
            <w:tcW w:w="1950" w:type="dxa"/>
          </w:tcPr>
          <w:p w14:paraId="33BDF19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B69B3AE" w14:textId="77777777" w:rsidTr="00851662">
        <w:trPr>
          <w:trHeight w:val="355"/>
          <w:jc w:val="center"/>
        </w:trPr>
        <w:tc>
          <w:tcPr>
            <w:tcW w:w="1140" w:type="dxa"/>
          </w:tcPr>
          <w:p w14:paraId="5B8DF88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w:t>
            </w:r>
          </w:p>
        </w:tc>
        <w:tc>
          <w:tcPr>
            <w:tcW w:w="6285" w:type="dxa"/>
          </w:tcPr>
          <w:p w14:paraId="708547A9"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Barry Goldwater Scholarship and Excellence in Education Foundation</w:t>
            </w:r>
          </w:p>
        </w:tc>
        <w:tc>
          <w:tcPr>
            <w:tcW w:w="1950" w:type="dxa"/>
          </w:tcPr>
          <w:p w14:paraId="441B03B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285DCBC" w14:textId="77777777" w:rsidTr="00851662">
        <w:trPr>
          <w:jc w:val="center"/>
        </w:trPr>
        <w:tc>
          <w:tcPr>
            <w:tcW w:w="1140" w:type="dxa"/>
          </w:tcPr>
          <w:p w14:paraId="011F09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w:t>
            </w:r>
          </w:p>
        </w:tc>
        <w:tc>
          <w:tcPr>
            <w:tcW w:w="6285" w:type="dxa"/>
          </w:tcPr>
          <w:p w14:paraId="1EB2E3C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Chemical Safety and Hazard Investigation Board</w:t>
            </w:r>
          </w:p>
        </w:tc>
        <w:tc>
          <w:tcPr>
            <w:tcW w:w="1950" w:type="dxa"/>
          </w:tcPr>
          <w:p w14:paraId="4FD9D324" w14:textId="0D7140D0" w:rsidR="00E33534" w:rsidRPr="009F7F5C" w:rsidRDefault="00B53305"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2C427DE3" w14:textId="77777777" w:rsidTr="00851662">
        <w:trPr>
          <w:jc w:val="center"/>
        </w:trPr>
        <w:tc>
          <w:tcPr>
            <w:tcW w:w="1140" w:type="dxa"/>
          </w:tcPr>
          <w:p w14:paraId="147219E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w:t>
            </w:r>
          </w:p>
        </w:tc>
        <w:tc>
          <w:tcPr>
            <w:tcW w:w="6285" w:type="dxa"/>
          </w:tcPr>
          <w:p w14:paraId="785955D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Commodity Futures Trading Commission</w:t>
            </w:r>
          </w:p>
        </w:tc>
        <w:tc>
          <w:tcPr>
            <w:tcW w:w="1950" w:type="dxa"/>
          </w:tcPr>
          <w:p w14:paraId="163FE50A" w14:textId="10BFB814" w:rsidR="00E33534" w:rsidRPr="009F7F5C" w:rsidRDefault="00B53305"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1270B47F" w14:textId="77777777" w:rsidTr="00851662">
        <w:trPr>
          <w:jc w:val="center"/>
        </w:trPr>
        <w:tc>
          <w:tcPr>
            <w:tcW w:w="1140" w:type="dxa"/>
          </w:tcPr>
          <w:p w14:paraId="0DE42B5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5</w:t>
            </w:r>
          </w:p>
        </w:tc>
        <w:tc>
          <w:tcPr>
            <w:tcW w:w="6285" w:type="dxa"/>
          </w:tcPr>
          <w:p w14:paraId="05601D4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Agriculture, US Forest Service</w:t>
            </w:r>
          </w:p>
        </w:tc>
        <w:tc>
          <w:tcPr>
            <w:tcW w:w="1950" w:type="dxa"/>
          </w:tcPr>
          <w:p w14:paraId="534ED5E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6D4247D" w14:textId="77777777" w:rsidTr="00851662">
        <w:trPr>
          <w:jc w:val="center"/>
        </w:trPr>
        <w:tc>
          <w:tcPr>
            <w:tcW w:w="1140" w:type="dxa"/>
          </w:tcPr>
          <w:p w14:paraId="08C91AB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6</w:t>
            </w:r>
          </w:p>
        </w:tc>
        <w:tc>
          <w:tcPr>
            <w:tcW w:w="6285" w:type="dxa"/>
          </w:tcPr>
          <w:p w14:paraId="2613C41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Commerce</w:t>
            </w:r>
          </w:p>
        </w:tc>
        <w:tc>
          <w:tcPr>
            <w:tcW w:w="1950" w:type="dxa"/>
          </w:tcPr>
          <w:p w14:paraId="5F57654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7B65049" w14:textId="77777777" w:rsidTr="00851662">
        <w:trPr>
          <w:jc w:val="center"/>
        </w:trPr>
        <w:tc>
          <w:tcPr>
            <w:tcW w:w="1140" w:type="dxa"/>
          </w:tcPr>
          <w:p w14:paraId="038899E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7</w:t>
            </w:r>
          </w:p>
        </w:tc>
        <w:tc>
          <w:tcPr>
            <w:tcW w:w="6285" w:type="dxa"/>
          </w:tcPr>
          <w:p w14:paraId="2A84886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Energy</w:t>
            </w:r>
          </w:p>
        </w:tc>
        <w:tc>
          <w:tcPr>
            <w:tcW w:w="1950" w:type="dxa"/>
          </w:tcPr>
          <w:p w14:paraId="3972E48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4D6364B" w14:textId="77777777" w:rsidTr="00851662">
        <w:trPr>
          <w:jc w:val="center"/>
        </w:trPr>
        <w:tc>
          <w:tcPr>
            <w:tcW w:w="1140" w:type="dxa"/>
          </w:tcPr>
          <w:p w14:paraId="7832C54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8</w:t>
            </w:r>
          </w:p>
        </w:tc>
        <w:tc>
          <w:tcPr>
            <w:tcW w:w="6285" w:type="dxa"/>
          </w:tcPr>
          <w:p w14:paraId="4EC8116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Homeland Security</w:t>
            </w:r>
          </w:p>
        </w:tc>
        <w:tc>
          <w:tcPr>
            <w:tcW w:w="1950" w:type="dxa"/>
          </w:tcPr>
          <w:p w14:paraId="6C51AFE8"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              Yes</w:t>
            </w:r>
          </w:p>
        </w:tc>
      </w:tr>
      <w:tr w:rsidR="00E33534" w14:paraId="35B5AE36" w14:textId="77777777" w:rsidTr="00851662">
        <w:trPr>
          <w:trHeight w:val="195"/>
          <w:jc w:val="center"/>
        </w:trPr>
        <w:tc>
          <w:tcPr>
            <w:tcW w:w="1140" w:type="dxa"/>
          </w:tcPr>
          <w:p w14:paraId="78ED9B0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9</w:t>
            </w:r>
          </w:p>
        </w:tc>
        <w:tc>
          <w:tcPr>
            <w:tcW w:w="6285" w:type="dxa"/>
          </w:tcPr>
          <w:p w14:paraId="4E608BAB"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Labor</w:t>
            </w:r>
          </w:p>
        </w:tc>
        <w:tc>
          <w:tcPr>
            <w:tcW w:w="1950" w:type="dxa"/>
          </w:tcPr>
          <w:p w14:paraId="68DB075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38CF46C9" w14:textId="77777777" w:rsidTr="00851662">
        <w:trPr>
          <w:jc w:val="center"/>
        </w:trPr>
        <w:tc>
          <w:tcPr>
            <w:tcW w:w="1140" w:type="dxa"/>
          </w:tcPr>
          <w:p w14:paraId="15E90F0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10</w:t>
            </w:r>
          </w:p>
        </w:tc>
        <w:tc>
          <w:tcPr>
            <w:tcW w:w="6285" w:type="dxa"/>
          </w:tcPr>
          <w:p w14:paraId="28F26F5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State</w:t>
            </w:r>
          </w:p>
        </w:tc>
        <w:tc>
          <w:tcPr>
            <w:tcW w:w="1950" w:type="dxa"/>
          </w:tcPr>
          <w:p w14:paraId="77A6106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160077C" w14:textId="77777777" w:rsidTr="00851662">
        <w:trPr>
          <w:jc w:val="center"/>
        </w:trPr>
        <w:tc>
          <w:tcPr>
            <w:tcW w:w="1140" w:type="dxa"/>
          </w:tcPr>
          <w:p w14:paraId="02DB561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11</w:t>
            </w:r>
          </w:p>
        </w:tc>
        <w:tc>
          <w:tcPr>
            <w:tcW w:w="6285" w:type="dxa"/>
          </w:tcPr>
          <w:p w14:paraId="3381F49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Air Force</w:t>
            </w:r>
          </w:p>
        </w:tc>
        <w:tc>
          <w:tcPr>
            <w:tcW w:w="1950" w:type="dxa"/>
          </w:tcPr>
          <w:p w14:paraId="1B90141B" w14:textId="66ADDED5" w:rsidR="00E33534" w:rsidRPr="009F7F5C" w:rsidRDefault="001C5A07"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3B90452C" w14:textId="77777777" w:rsidTr="00851662">
        <w:trPr>
          <w:jc w:val="center"/>
        </w:trPr>
        <w:tc>
          <w:tcPr>
            <w:tcW w:w="1140" w:type="dxa"/>
          </w:tcPr>
          <w:p w14:paraId="5C0BD1F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12</w:t>
            </w:r>
          </w:p>
        </w:tc>
        <w:tc>
          <w:tcPr>
            <w:tcW w:w="6285" w:type="dxa"/>
          </w:tcPr>
          <w:p w14:paraId="4C823011"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Army</w:t>
            </w:r>
          </w:p>
        </w:tc>
        <w:tc>
          <w:tcPr>
            <w:tcW w:w="1950" w:type="dxa"/>
          </w:tcPr>
          <w:p w14:paraId="397AEAD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303AEB2" w14:textId="77777777" w:rsidTr="00851662">
        <w:trPr>
          <w:jc w:val="center"/>
        </w:trPr>
        <w:tc>
          <w:tcPr>
            <w:tcW w:w="1140" w:type="dxa"/>
          </w:tcPr>
          <w:p w14:paraId="28BA879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13</w:t>
            </w:r>
          </w:p>
        </w:tc>
        <w:tc>
          <w:tcPr>
            <w:tcW w:w="6285" w:type="dxa"/>
          </w:tcPr>
          <w:p w14:paraId="16F1A20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Land Management</w:t>
            </w:r>
          </w:p>
        </w:tc>
        <w:tc>
          <w:tcPr>
            <w:tcW w:w="1950" w:type="dxa"/>
          </w:tcPr>
          <w:p w14:paraId="4EE2848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80740CB" w14:textId="77777777" w:rsidTr="00851662">
        <w:trPr>
          <w:jc w:val="center"/>
        </w:trPr>
        <w:tc>
          <w:tcPr>
            <w:tcW w:w="1140" w:type="dxa"/>
          </w:tcPr>
          <w:p w14:paraId="1F51D99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14</w:t>
            </w:r>
          </w:p>
        </w:tc>
        <w:tc>
          <w:tcPr>
            <w:tcW w:w="6285" w:type="dxa"/>
          </w:tcPr>
          <w:p w14:paraId="2214C05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Reclamation</w:t>
            </w:r>
          </w:p>
        </w:tc>
        <w:tc>
          <w:tcPr>
            <w:tcW w:w="1950" w:type="dxa"/>
          </w:tcPr>
          <w:p w14:paraId="112448B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212893A" w14:textId="77777777" w:rsidTr="00851662">
        <w:trPr>
          <w:jc w:val="center"/>
        </w:trPr>
        <w:tc>
          <w:tcPr>
            <w:tcW w:w="1140" w:type="dxa"/>
          </w:tcPr>
          <w:p w14:paraId="094D863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15</w:t>
            </w:r>
          </w:p>
        </w:tc>
        <w:tc>
          <w:tcPr>
            <w:tcW w:w="6285" w:type="dxa"/>
          </w:tcPr>
          <w:p w14:paraId="7E219C2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National Park Service</w:t>
            </w:r>
          </w:p>
        </w:tc>
        <w:tc>
          <w:tcPr>
            <w:tcW w:w="1950" w:type="dxa"/>
          </w:tcPr>
          <w:p w14:paraId="6A6F7CC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9A3AB9D" w14:textId="77777777" w:rsidTr="00851662">
        <w:trPr>
          <w:jc w:val="center"/>
        </w:trPr>
        <w:tc>
          <w:tcPr>
            <w:tcW w:w="1140" w:type="dxa"/>
          </w:tcPr>
          <w:p w14:paraId="2C2752F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16</w:t>
            </w:r>
          </w:p>
        </w:tc>
        <w:tc>
          <w:tcPr>
            <w:tcW w:w="6285" w:type="dxa"/>
          </w:tcPr>
          <w:p w14:paraId="7BA74A03"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Navy</w:t>
            </w:r>
          </w:p>
        </w:tc>
        <w:tc>
          <w:tcPr>
            <w:tcW w:w="1950" w:type="dxa"/>
          </w:tcPr>
          <w:p w14:paraId="5BCF4555" w14:textId="132434E1" w:rsidR="00E33534" w:rsidRPr="009F7F5C" w:rsidRDefault="001C5A07"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7317031A" w14:textId="77777777" w:rsidTr="00851662">
        <w:trPr>
          <w:jc w:val="center"/>
        </w:trPr>
        <w:tc>
          <w:tcPr>
            <w:tcW w:w="1140" w:type="dxa"/>
          </w:tcPr>
          <w:p w14:paraId="56FB88C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17</w:t>
            </w:r>
          </w:p>
        </w:tc>
        <w:tc>
          <w:tcPr>
            <w:tcW w:w="6285" w:type="dxa"/>
          </w:tcPr>
          <w:p w14:paraId="0ABB96A9"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Treasury</w:t>
            </w:r>
          </w:p>
        </w:tc>
        <w:tc>
          <w:tcPr>
            <w:tcW w:w="1950" w:type="dxa"/>
          </w:tcPr>
          <w:p w14:paraId="598F8CB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9DE006A" w14:textId="77777777" w:rsidTr="00851662">
        <w:trPr>
          <w:jc w:val="center"/>
        </w:trPr>
        <w:tc>
          <w:tcPr>
            <w:tcW w:w="1140" w:type="dxa"/>
          </w:tcPr>
          <w:p w14:paraId="54DEF17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18</w:t>
            </w:r>
          </w:p>
        </w:tc>
        <w:tc>
          <w:tcPr>
            <w:tcW w:w="6285" w:type="dxa"/>
          </w:tcPr>
          <w:p w14:paraId="07E2F16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Department of Transportation </w:t>
            </w:r>
          </w:p>
        </w:tc>
        <w:tc>
          <w:tcPr>
            <w:tcW w:w="1950" w:type="dxa"/>
          </w:tcPr>
          <w:p w14:paraId="2853973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4F3BFBF0" w14:textId="77777777" w:rsidTr="00851662">
        <w:trPr>
          <w:jc w:val="center"/>
        </w:trPr>
        <w:tc>
          <w:tcPr>
            <w:tcW w:w="1140" w:type="dxa"/>
          </w:tcPr>
          <w:p w14:paraId="44C2A2A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19</w:t>
            </w:r>
          </w:p>
        </w:tc>
        <w:tc>
          <w:tcPr>
            <w:tcW w:w="6285" w:type="dxa"/>
          </w:tcPr>
          <w:p w14:paraId="79E6805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Veterans Affairs</w:t>
            </w:r>
          </w:p>
        </w:tc>
        <w:tc>
          <w:tcPr>
            <w:tcW w:w="1950" w:type="dxa"/>
          </w:tcPr>
          <w:p w14:paraId="1AD743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ECA15D1" w14:textId="77777777" w:rsidTr="00851662">
        <w:trPr>
          <w:jc w:val="center"/>
        </w:trPr>
        <w:tc>
          <w:tcPr>
            <w:tcW w:w="1140" w:type="dxa"/>
          </w:tcPr>
          <w:p w14:paraId="4B3D128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20</w:t>
            </w:r>
          </w:p>
        </w:tc>
        <w:tc>
          <w:tcPr>
            <w:tcW w:w="6285" w:type="dxa"/>
          </w:tcPr>
          <w:p w14:paraId="00FCDE4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Environmental Protection Agency</w:t>
            </w:r>
          </w:p>
        </w:tc>
        <w:tc>
          <w:tcPr>
            <w:tcW w:w="1950" w:type="dxa"/>
          </w:tcPr>
          <w:p w14:paraId="7FE7E85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50E284E" w14:textId="77777777" w:rsidTr="00851662">
        <w:trPr>
          <w:jc w:val="center"/>
        </w:trPr>
        <w:tc>
          <w:tcPr>
            <w:tcW w:w="1140" w:type="dxa"/>
          </w:tcPr>
          <w:p w14:paraId="29B3FD2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21</w:t>
            </w:r>
          </w:p>
        </w:tc>
        <w:tc>
          <w:tcPr>
            <w:tcW w:w="6285" w:type="dxa"/>
          </w:tcPr>
          <w:p w14:paraId="7904396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Export-Import Bank</w:t>
            </w:r>
          </w:p>
        </w:tc>
        <w:tc>
          <w:tcPr>
            <w:tcW w:w="1950" w:type="dxa"/>
          </w:tcPr>
          <w:p w14:paraId="321B1C0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C8391F6" w14:textId="77777777" w:rsidTr="00851662">
        <w:trPr>
          <w:jc w:val="center"/>
        </w:trPr>
        <w:tc>
          <w:tcPr>
            <w:tcW w:w="1140" w:type="dxa"/>
          </w:tcPr>
          <w:p w14:paraId="1B2D1F4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22</w:t>
            </w:r>
          </w:p>
        </w:tc>
        <w:tc>
          <w:tcPr>
            <w:tcW w:w="6285" w:type="dxa"/>
          </w:tcPr>
          <w:p w14:paraId="2D162364"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Farm Credit System Insurance Corporation</w:t>
            </w:r>
          </w:p>
        </w:tc>
        <w:tc>
          <w:tcPr>
            <w:tcW w:w="1950" w:type="dxa"/>
          </w:tcPr>
          <w:p w14:paraId="45586E1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502976B" w14:textId="77777777" w:rsidTr="00851662">
        <w:trPr>
          <w:jc w:val="center"/>
        </w:trPr>
        <w:tc>
          <w:tcPr>
            <w:tcW w:w="1140" w:type="dxa"/>
          </w:tcPr>
          <w:p w14:paraId="0E837A0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23</w:t>
            </w:r>
          </w:p>
        </w:tc>
        <w:tc>
          <w:tcPr>
            <w:tcW w:w="6285" w:type="dxa"/>
          </w:tcPr>
          <w:p w14:paraId="64EC9171"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Federal Communications Commission </w:t>
            </w:r>
          </w:p>
        </w:tc>
        <w:tc>
          <w:tcPr>
            <w:tcW w:w="1950" w:type="dxa"/>
          </w:tcPr>
          <w:p w14:paraId="6294796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721B18E" w14:textId="77777777" w:rsidTr="00851662">
        <w:trPr>
          <w:jc w:val="center"/>
        </w:trPr>
        <w:tc>
          <w:tcPr>
            <w:tcW w:w="1140" w:type="dxa"/>
          </w:tcPr>
          <w:p w14:paraId="7F77E1B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24</w:t>
            </w:r>
          </w:p>
        </w:tc>
        <w:tc>
          <w:tcPr>
            <w:tcW w:w="6285" w:type="dxa"/>
          </w:tcPr>
          <w:p w14:paraId="351C629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Housing Finance Agency</w:t>
            </w:r>
          </w:p>
        </w:tc>
        <w:tc>
          <w:tcPr>
            <w:tcW w:w="1950" w:type="dxa"/>
          </w:tcPr>
          <w:p w14:paraId="1CFED4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26E7C27" w14:textId="77777777" w:rsidTr="00851662">
        <w:trPr>
          <w:jc w:val="center"/>
        </w:trPr>
        <w:tc>
          <w:tcPr>
            <w:tcW w:w="1140" w:type="dxa"/>
          </w:tcPr>
          <w:p w14:paraId="62A57CA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25</w:t>
            </w:r>
          </w:p>
        </w:tc>
        <w:tc>
          <w:tcPr>
            <w:tcW w:w="6285" w:type="dxa"/>
          </w:tcPr>
          <w:p w14:paraId="01AC44C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Retirement Thrift Investment Board</w:t>
            </w:r>
          </w:p>
        </w:tc>
        <w:tc>
          <w:tcPr>
            <w:tcW w:w="1950" w:type="dxa"/>
          </w:tcPr>
          <w:p w14:paraId="48D7308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2C39D70" w14:textId="77777777" w:rsidTr="00851662">
        <w:trPr>
          <w:jc w:val="center"/>
        </w:trPr>
        <w:tc>
          <w:tcPr>
            <w:tcW w:w="1140" w:type="dxa"/>
          </w:tcPr>
          <w:p w14:paraId="639D900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26</w:t>
            </w:r>
          </w:p>
        </w:tc>
        <w:tc>
          <w:tcPr>
            <w:tcW w:w="6285" w:type="dxa"/>
          </w:tcPr>
          <w:p w14:paraId="2EAA33C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General Services Administration</w:t>
            </w:r>
          </w:p>
        </w:tc>
        <w:tc>
          <w:tcPr>
            <w:tcW w:w="1950" w:type="dxa"/>
          </w:tcPr>
          <w:p w14:paraId="5292549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18CDF10" w14:textId="77777777" w:rsidTr="00851662">
        <w:trPr>
          <w:jc w:val="center"/>
        </w:trPr>
        <w:tc>
          <w:tcPr>
            <w:tcW w:w="1140" w:type="dxa"/>
          </w:tcPr>
          <w:p w14:paraId="357BAC3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27</w:t>
            </w:r>
          </w:p>
        </w:tc>
        <w:tc>
          <w:tcPr>
            <w:tcW w:w="6285" w:type="dxa"/>
          </w:tcPr>
          <w:p w14:paraId="648A0A8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John F. Kennedy Center for the Performing Arts</w:t>
            </w:r>
          </w:p>
        </w:tc>
        <w:tc>
          <w:tcPr>
            <w:tcW w:w="1950" w:type="dxa"/>
          </w:tcPr>
          <w:p w14:paraId="1EC39DE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D10FCC9" w14:textId="77777777" w:rsidTr="00851662">
        <w:trPr>
          <w:trHeight w:val="72"/>
          <w:jc w:val="center"/>
        </w:trPr>
        <w:tc>
          <w:tcPr>
            <w:tcW w:w="1140" w:type="dxa"/>
          </w:tcPr>
          <w:p w14:paraId="24563B3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28</w:t>
            </w:r>
          </w:p>
        </w:tc>
        <w:tc>
          <w:tcPr>
            <w:tcW w:w="6285" w:type="dxa"/>
          </w:tcPr>
          <w:p w14:paraId="1B2B3F25"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Merit Systems Protection Board</w:t>
            </w:r>
          </w:p>
        </w:tc>
        <w:tc>
          <w:tcPr>
            <w:tcW w:w="1950" w:type="dxa"/>
          </w:tcPr>
          <w:p w14:paraId="652239D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F054EB7" w14:textId="77777777" w:rsidTr="00851662">
        <w:trPr>
          <w:jc w:val="center"/>
        </w:trPr>
        <w:tc>
          <w:tcPr>
            <w:tcW w:w="1140" w:type="dxa"/>
          </w:tcPr>
          <w:p w14:paraId="3FBEA08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29</w:t>
            </w:r>
          </w:p>
        </w:tc>
        <w:tc>
          <w:tcPr>
            <w:tcW w:w="6285" w:type="dxa"/>
          </w:tcPr>
          <w:p w14:paraId="0F206DE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Millennium Challenge Corporation</w:t>
            </w:r>
          </w:p>
        </w:tc>
        <w:tc>
          <w:tcPr>
            <w:tcW w:w="1950" w:type="dxa"/>
          </w:tcPr>
          <w:p w14:paraId="6A23EB4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B293814" w14:textId="77777777" w:rsidTr="00851662">
        <w:trPr>
          <w:trHeight w:val="340"/>
          <w:jc w:val="center"/>
        </w:trPr>
        <w:tc>
          <w:tcPr>
            <w:tcW w:w="1140" w:type="dxa"/>
          </w:tcPr>
          <w:p w14:paraId="09A9B97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30</w:t>
            </w:r>
          </w:p>
        </w:tc>
        <w:tc>
          <w:tcPr>
            <w:tcW w:w="6285" w:type="dxa"/>
          </w:tcPr>
          <w:p w14:paraId="4F3CF52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Morris K. Udall Scholarship and Excellence in National Environmental Policy Foundation </w:t>
            </w:r>
          </w:p>
        </w:tc>
        <w:tc>
          <w:tcPr>
            <w:tcW w:w="1950" w:type="dxa"/>
          </w:tcPr>
          <w:p w14:paraId="7095BAB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935617F" w14:textId="77777777" w:rsidTr="00851662">
        <w:trPr>
          <w:jc w:val="center"/>
        </w:trPr>
        <w:tc>
          <w:tcPr>
            <w:tcW w:w="1140" w:type="dxa"/>
          </w:tcPr>
          <w:p w14:paraId="37592E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31</w:t>
            </w:r>
          </w:p>
        </w:tc>
        <w:tc>
          <w:tcPr>
            <w:tcW w:w="6285" w:type="dxa"/>
          </w:tcPr>
          <w:p w14:paraId="73506F64"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Aeronautics and Space Administration</w:t>
            </w:r>
          </w:p>
        </w:tc>
        <w:tc>
          <w:tcPr>
            <w:tcW w:w="1950" w:type="dxa"/>
          </w:tcPr>
          <w:p w14:paraId="6FCE523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087C5DB" w14:textId="77777777" w:rsidTr="00851662">
        <w:trPr>
          <w:jc w:val="center"/>
        </w:trPr>
        <w:tc>
          <w:tcPr>
            <w:tcW w:w="1140" w:type="dxa"/>
          </w:tcPr>
          <w:p w14:paraId="6FEA2AA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32</w:t>
            </w:r>
          </w:p>
        </w:tc>
        <w:tc>
          <w:tcPr>
            <w:tcW w:w="6285" w:type="dxa"/>
          </w:tcPr>
          <w:p w14:paraId="05739A52"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Archives and Records Administration</w:t>
            </w:r>
          </w:p>
        </w:tc>
        <w:tc>
          <w:tcPr>
            <w:tcW w:w="1950" w:type="dxa"/>
          </w:tcPr>
          <w:p w14:paraId="3EF3F8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D0DC3BC" w14:textId="77777777" w:rsidTr="00851662">
        <w:trPr>
          <w:trHeight w:val="165"/>
          <w:jc w:val="center"/>
        </w:trPr>
        <w:tc>
          <w:tcPr>
            <w:tcW w:w="1140" w:type="dxa"/>
          </w:tcPr>
          <w:p w14:paraId="63BE402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33</w:t>
            </w:r>
          </w:p>
        </w:tc>
        <w:tc>
          <w:tcPr>
            <w:tcW w:w="6285" w:type="dxa"/>
          </w:tcPr>
          <w:p w14:paraId="14AFA043"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Credit Union Administration</w:t>
            </w:r>
          </w:p>
        </w:tc>
        <w:tc>
          <w:tcPr>
            <w:tcW w:w="1950" w:type="dxa"/>
          </w:tcPr>
          <w:p w14:paraId="30A3F57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F3E61ED" w14:textId="77777777" w:rsidTr="00851662">
        <w:trPr>
          <w:trHeight w:val="177"/>
          <w:jc w:val="center"/>
        </w:trPr>
        <w:tc>
          <w:tcPr>
            <w:tcW w:w="1140" w:type="dxa"/>
          </w:tcPr>
          <w:p w14:paraId="341AB86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34</w:t>
            </w:r>
          </w:p>
        </w:tc>
        <w:tc>
          <w:tcPr>
            <w:tcW w:w="6285" w:type="dxa"/>
          </w:tcPr>
          <w:p w14:paraId="0021D8C3"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Overseas Private Investment Corporation</w:t>
            </w:r>
          </w:p>
        </w:tc>
        <w:tc>
          <w:tcPr>
            <w:tcW w:w="1950" w:type="dxa"/>
          </w:tcPr>
          <w:p w14:paraId="2D8555E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5263B2C7" w14:textId="77777777" w:rsidTr="00851662">
        <w:trPr>
          <w:trHeight w:val="225"/>
          <w:jc w:val="center"/>
        </w:trPr>
        <w:tc>
          <w:tcPr>
            <w:tcW w:w="1140" w:type="dxa"/>
          </w:tcPr>
          <w:p w14:paraId="473FC0D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35</w:t>
            </w:r>
          </w:p>
        </w:tc>
        <w:tc>
          <w:tcPr>
            <w:tcW w:w="6285" w:type="dxa"/>
          </w:tcPr>
          <w:p w14:paraId="73D6397E"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Peace Corps</w:t>
            </w:r>
          </w:p>
        </w:tc>
        <w:tc>
          <w:tcPr>
            <w:tcW w:w="1950" w:type="dxa"/>
          </w:tcPr>
          <w:p w14:paraId="7C688FD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1654CE8B" w14:textId="77777777" w:rsidTr="00851662">
        <w:trPr>
          <w:jc w:val="center"/>
        </w:trPr>
        <w:tc>
          <w:tcPr>
            <w:tcW w:w="1140" w:type="dxa"/>
          </w:tcPr>
          <w:p w14:paraId="55CE5DA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36</w:t>
            </w:r>
          </w:p>
        </w:tc>
        <w:tc>
          <w:tcPr>
            <w:tcW w:w="6285" w:type="dxa"/>
          </w:tcPr>
          <w:p w14:paraId="68EA9B17"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Pretrial Services Agency for the District of Columbia</w:t>
            </w:r>
          </w:p>
        </w:tc>
        <w:tc>
          <w:tcPr>
            <w:tcW w:w="1950" w:type="dxa"/>
          </w:tcPr>
          <w:p w14:paraId="0B4CA4A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5914881" w14:textId="77777777" w:rsidTr="00851662">
        <w:trPr>
          <w:trHeight w:val="195"/>
          <w:jc w:val="center"/>
        </w:trPr>
        <w:tc>
          <w:tcPr>
            <w:tcW w:w="1140" w:type="dxa"/>
          </w:tcPr>
          <w:p w14:paraId="4E846F5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37</w:t>
            </w:r>
          </w:p>
        </w:tc>
        <w:tc>
          <w:tcPr>
            <w:tcW w:w="6285" w:type="dxa"/>
          </w:tcPr>
          <w:p w14:paraId="49B0CD20"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Securities and Exchange Commission</w:t>
            </w:r>
          </w:p>
        </w:tc>
        <w:tc>
          <w:tcPr>
            <w:tcW w:w="1950" w:type="dxa"/>
          </w:tcPr>
          <w:p w14:paraId="1EBA210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7807012" w14:textId="77777777" w:rsidTr="00851662">
        <w:trPr>
          <w:jc w:val="center"/>
        </w:trPr>
        <w:tc>
          <w:tcPr>
            <w:tcW w:w="1140" w:type="dxa"/>
          </w:tcPr>
          <w:p w14:paraId="1197639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38</w:t>
            </w:r>
          </w:p>
        </w:tc>
        <w:tc>
          <w:tcPr>
            <w:tcW w:w="6285" w:type="dxa"/>
          </w:tcPr>
          <w:p w14:paraId="77D472D1"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Smithsonian Institution</w:t>
            </w:r>
          </w:p>
        </w:tc>
        <w:tc>
          <w:tcPr>
            <w:tcW w:w="1950" w:type="dxa"/>
          </w:tcPr>
          <w:p w14:paraId="2C45A96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2244DC77" w14:textId="77777777" w:rsidTr="00851662">
        <w:trPr>
          <w:trHeight w:val="282"/>
          <w:jc w:val="center"/>
        </w:trPr>
        <w:tc>
          <w:tcPr>
            <w:tcW w:w="1140" w:type="dxa"/>
          </w:tcPr>
          <w:p w14:paraId="655816F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39</w:t>
            </w:r>
          </w:p>
        </w:tc>
        <w:tc>
          <w:tcPr>
            <w:tcW w:w="6285" w:type="dxa"/>
          </w:tcPr>
          <w:p w14:paraId="7F76C771"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Tennessee Valley Authority</w:t>
            </w:r>
          </w:p>
        </w:tc>
        <w:tc>
          <w:tcPr>
            <w:tcW w:w="1950" w:type="dxa"/>
          </w:tcPr>
          <w:p w14:paraId="0ACE2A9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C02AE79" w14:textId="77777777" w:rsidTr="00851662">
        <w:trPr>
          <w:jc w:val="center"/>
        </w:trPr>
        <w:tc>
          <w:tcPr>
            <w:tcW w:w="1140" w:type="dxa"/>
          </w:tcPr>
          <w:p w14:paraId="46CA938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lastRenderedPageBreak/>
              <w:t>40</w:t>
            </w:r>
          </w:p>
        </w:tc>
        <w:tc>
          <w:tcPr>
            <w:tcW w:w="6285" w:type="dxa"/>
          </w:tcPr>
          <w:p w14:paraId="64898045" w14:textId="77777777" w:rsidR="00E33534" w:rsidRPr="009F7F5C" w:rsidRDefault="00E33534" w:rsidP="00123122">
            <w:pPr>
              <w:spacing w:after="0" w:line="240" w:lineRule="auto"/>
              <w:ind w:left="0" w:firstLine="0"/>
              <w:rPr>
                <w:rFonts w:ascii="Calibri Light" w:eastAsia="Times New Roman" w:hAnsi="Calibri Light" w:cs="Calibri Light"/>
              </w:rPr>
            </w:pPr>
            <w:r w:rsidRPr="009F7F5C">
              <w:rPr>
                <w:rFonts w:ascii="Calibri Light" w:eastAsia="Times New Roman" w:hAnsi="Calibri Light" w:cs="Calibri Light"/>
              </w:rPr>
              <w:t>The Presidio Trust</w:t>
            </w:r>
          </w:p>
        </w:tc>
        <w:tc>
          <w:tcPr>
            <w:tcW w:w="1950" w:type="dxa"/>
          </w:tcPr>
          <w:p w14:paraId="0A0AD10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C3D1A84" w14:textId="77777777" w:rsidTr="00851662">
        <w:trPr>
          <w:jc w:val="center"/>
        </w:trPr>
        <w:tc>
          <w:tcPr>
            <w:tcW w:w="1140" w:type="dxa"/>
          </w:tcPr>
          <w:p w14:paraId="6DEC2E1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41</w:t>
            </w:r>
          </w:p>
        </w:tc>
        <w:tc>
          <w:tcPr>
            <w:tcW w:w="6285" w:type="dxa"/>
          </w:tcPr>
          <w:p w14:paraId="18B2571F"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United States Holocaust Memorial Museum</w:t>
            </w:r>
          </w:p>
        </w:tc>
        <w:tc>
          <w:tcPr>
            <w:tcW w:w="1950" w:type="dxa"/>
          </w:tcPr>
          <w:p w14:paraId="0CC4FD7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bl>
    <w:p w14:paraId="020C8627" w14:textId="744FFF76" w:rsidR="00E33534" w:rsidRDefault="00E33534">
      <w:pPr>
        <w:ind w:left="0" w:firstLine="0"/>
        <w:rPr>
          <w:rFonts w:ascii="Arial" w:eastAsia="Arial" w:hAnsi="Arial" w:cs="Arial"/>
          <w:sz w:val="20"/>
          <w:szCs w:val="20"/>
        </w:rPr>
        <w:sectPr w:rsidR="00E33534">
          <w:headerReference w:type="default" r:id="rId17"/>
          <w:pgSz w:w="12240" w:h="15840"/>
          <w:pgMar w:top="1440" w:right="1440" w:bottom="1440" w:left="1440" w:header="720" w:footer="720" w:gutter="0"/>
          <w:cols w:space="720"/>
        </w:sectPr>
      </w:pPr>
    </w:p>
    <w:p w14:paraId="35834496" w14:textId="6F8CE357" w:rsidR="00B34815"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r>
        <w:rPr>
          <w:color w:val="000000"/>
        </w:rPr>
        <w:lastRenderedPageBreak/>
        <w:t>Of those agencies that responded yes in Appendix B, Appendix C identifies those agencies that processed applications for permits during the reporting period.</w:t>
      </w:r>
    </w:p>
    <w:tbl>
      <w:tblPr>
        <w:tblStyle w:val="1"/>
        <w:tblpPr w:leftFromText="180" w:rightFromText="180" w:vertAnchor="text" w:horzAnchor="margin" w:tblpY="170"/>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5"/>
        <w:gridCol w:w="5355"/>
        <w:gridCol w:w="2095"/>
      </w:tblGrid>
      <w:tr w:rsidR="00E33534" w14:paraId="2F1CA04B" w14:textId="77777777" w:rsidTr="00851662">
        <w:trPr>
          <w:trHeight w:val="1080"/>
        </w:trPr>
        <w:tc>
          <w:tcPr>
            <w:tcW w:w="915" w:type="dxa"/>
            <w:shd w:val="clear" w:color="auto" w:fill="0070C0"/>
          </w:tcPr>
          <w:p w14:paraId="5201BA50"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 xml:space="preserve">No. </w:t>
            </w:r>
          </w:p>
        </w:tc>
        <w:tc>
          <w:tcPr>
            <w:tcW w:w="5355" w:type="dxa"/>
            <w:shd w:val="clear" w:color="auto" w:fill="0070C0"/>
          </w:tcPr>
          <w:p w14:paraId="27556AED"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Agency/Bureau</w:t>
            </w:r>
          </w:p>
        </w:tc>
        <w:tc>
          <w:tcPr>
            <w:tcW w:w="2095" w:type="dxa"/>
            <w:shd w:val="clear" w:color="auto" w:fill="0070C0"/>
          </w:tcPr>
          <w:p w14:paraId="12F3D41A"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Processed Permit Applications</w:t>
            </w:r>
          </w:p>
        </w:tc>
      </w:tr>
      <w:tr w:rsidR="00E33534" w14:paraId="779EFAB6" w14:textId="77777777" w:rsidTr="00851662">
        <w:tc>
          <w:tcPr>
            <w:tcW w:w="915" w:type="dxa"/>
          </w:tcPr>
          <w:p w14:paraId="783E3595" w14:textId="77777777" w:rsidR="00E33534" w:rsidRPr="009F7F5C" w:rsidRDefault="00E33534" w:rsidP="00E33534">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1</w:t>
            </w:r>
          </w:p>
        </w:tc>
        <w:tc>
          <w:tcPr>
            <w:tcW w:w="5355" w:type="dxa"/>
          </w:tcPr>
          <w:p w14:paraId="059A9B4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Agency for Global Media</w:t>
            </w:r>
          </w:p>
        </w:tc>
        <w:tc>
          <w:tcPr>
            <w:tcW w:w="2095" w:type="dxa"/>
          </w:tcPr>
          <w:p w14:paraId="1742C57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1CE3E974" w14:textId="77777777" w:rsidTr="00851662">
        <w:tc>
          <w:tcPr>
            <w:tcW w:w="915" w:type="dxa"/>
          </w:tcPr>
          <w:p w14:paraId="2905221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w:t>
            </w:r>
          </w:p>
        </w:tc>
        <w:tc>
          <w:tcPr>
            <w:tcW w:w="5355" w:type="dxa"/>
          </w:tcPr>
          <w:p w14:paraId="44F882B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Barry Goldwater Scholarship and Excellence in Education</w:t>
            </w:r>
          </w:p>
        </w:tc>
        <w:tc>
          <w:tcPr>
            <w:tcW w:w="2095" w:type="dxa"/>
          </w:tcPr>
          <w:p w14:paraId="0CBBD4E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DE9EA2A" w14:textId="77777777" w:rsidTr="00851662">
        <w:tc>
          <w:tcPr>
            <w:tcW w:w="915" w:type="dxa"/>
          </w:tcPr>
          <w:p w14:paraId="6E7FD5D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w:t>
            </w:r>
          </w:p>
        </w:tc>
        <w:tc>
          <w:tcPr>
            <w:tcW w:w="5355" w:type="dxa"/>
          </w:tcPr>
          <w:p w14:paraId="393A822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Chemical Safety and Hazard Investigation Board</w:t>
            </w:r>
          </w:p>
        </w:tc>
        <w:tc>
          <w:tcPr>
            <w:tcW w:w="2095" w:type="dxa"/>
          </w:tcPr>
          <w:p w14:paraId="149EDF51"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9A1CB5D" w14:textId="77777777" w:rsidTr="00851662">
        <w:tc>
          <w:tcPr>
            <w:tcW w:w="915" w:type="dxa"/>
          </w:tcPr>
          <w:p w14:paraId="01C9088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w:t>
            </w:r>
          </w:p>
        </w:tc>
        <w:tc>
          <w:tcPr>
            <w:tcW w:w="5355" w:type="dxa"/>
          </w:tcPr>
          <w:p w14:paraId="1858F086"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Commodity Futures Trading Commission</w:t>
            </w:r>
          </w:p>
        </w:tc>
        <w:tc>
          <w:tcPr>
            <w:tcW w:w="2095" w:type="dxa"/>
          </w:tcPr>
          <w:p w14:paraId="270FF11E"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1E7C71C" w14:textId="77777777" w:rsidTr="00851662">
        <w:tc>
          <w:tcPr>
            <w:tcW w:w="915" w:type="dxa"/>
          </w:tcPr>
          <w:p w14:paraId="3F0382D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5</w:t>
            </w:r>
          </w:p>
        </w:tc>
        <w:tc>
          <w:tcPr>
            <w:tcW w:w="5355" w:type="dxa"/>
          </w:tcPr>
          <w:p w14:paraId="04BFDDC2"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Agriculture, US Forest Service</w:t>
            </w:r>
          </w:p>
        </w:tc>
        <w:tc>
          <w:tcPr>
            <w:tcW w:w="2095" w:type="dxa"/>
          </w:tcPr>
          <w:p w14:paraId="4FAB18E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539933C" w14:textId="77777777" w:rsidTr="00851662">
        <w:tc>
          <w:tcPr>
            <w:tcW w:w="915" w:type="dxa"/>
          </w:tcPr>
          <w:p w14:paraId="63CE71E9"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6</w:t>
            </w:r>
          </w:p>
        </w:tc>
        <w:tc>
          <w:tcPr>
            <w:tcW w:w="5355" w:type="dxa"/>
          </w:tcPr>
          <w:p w14:paraId="01F4D17D"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Commerce</w:t>
            </w:r>
          </w:p>
        </w:tc>
        <w:tc>
          <w:tcPr>
            <w:tcW w:w="2095" w:type="dxa"/>
          </w:tcPr>
          <w:p w14:paraId="281553B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0E06B9A" w14:textId="77777777" w:rsidTr="00851662">
        <w:tc>
          <w:tcPr>
            <w:tcW w:w="915" w:type="dxa"/>
          </w:tcPr>
          <w:p w14:paraId="1CD24A0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7</w:t>
            </w:r>
          </w:p>
        </w:tc>
        <w:tc>
          <w:tcPr>
            <w:tcW w:w="5355" w:type="dxa"/>
          </w:tcPr>
          <w:p w14:paraId="4A6EB13B"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Energy</w:t>
            </w:r>
          </w:p>
        </w:tc>
        <w:tc>
          <w:tcPr>
            <w:tcW w:w="2095" w:type="dxa"/>
          </w:tcPr>
          <w:p w14:paraId="1391F13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6524A17" w14:textId="77777777" w:rsidTr="00851662">
        <w:tc>
          <w:tcPr>
            <w:tcW w:w="915" w:type="dxa"/>
          </w:tcPr>
          <w:p w14:paraId="1C8CE6D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8</w:t>
            </w:r>
          </w:p>
        </w:tc>
        <w:tc>
          <w:tcPr>
            <w:tcW w:w="5355" w:type="dxa"/>
          </w:tcPr>
          <w:p w14:paraId="64815FAF"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Air Force</w:t>
            </w:r>
          </w:p>
        </w:tc>
        <w:tc>
          <w:tcPr>
            <w:tcW w:w="2095" w:type="dxa"/>
          </w:tcPr>
          <w:p w14:paraId="5240ADA4" w14:textId="7600230B" w:rsidR="00E33534" w:rsidRPr="009F7F5C" w:rsidRDefault="000B0296"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4383D1E0" w14:textId="77777777" w:rsidTr="00851662">
        <w:tc>
          <w:tcPr>
            <w:tcW w:w="915" w:type="dxa"/>
          </w:tcPr>
          <w:p w14:paraId="6DF12234"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9</w:t>
            </w:r>
          </w:p>
        </w:tc>
        <w:tc>
          <w:tcPr>
            <w:tcW w:w="5355" w:type="dxa"/>
          </w:tcPr>
          <w:p w14:paraId="56BA1A8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Army</w:t>
            </w:r>
          </w:p>
        </w:tc>
        <w:tc>
          <w:tcPr>
            <w:tcW w:w="2095" w:type="dxa"/>
          </w:tcPr>
          <w:p w14:paraId="3C988DC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DFAD7A1" w14:textId="77777777" w:rsidTr="00851662">
        <w:tc>
          <w:tcPr>
            <w:tcW w:w="915" w:type="dxa"/>
          </w:tcPr>
          <w:p w14:paraId="33175C4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10</w:t>
            </w:r>
          </w:p>
        </w:tc>
        <w:tc>
          <w:tcPr>
            <w:tcW w:w="5355" w:type="dxa"/>
          </w:tcPr>
          <w:p w14:paraId="223B40AC" w14:textId="77777777" w:rsidR="00E33534" w:rsidRPr="009F7F5C" w:rsidRDefault="00E33534" w:rsidP="00E33534">
            <w:pPr>
              <w:spacing w:after="0" w:line="240" w:lineRule="auto"/>
              <w:ind w:left="0" w:hanging="2"/>
              <w:rPr>
                <w:rFonts w:ascii="Calibri Light" w:eastAsia="Times New Roman" w:hAnsi="Calibri Light" w:cs="Calibri Light"/>
              </w:rPr>
            </w:pPr>
            <w:r>
              <w:rPr>
                <w:rFonts w:ascii="Calibri Light" w:eastAsia="Times New Roman" w:hAnsi="Calibri Light" w:cs="Calibri Light"/>
              </w:rPr>
              <w:t>Department of Homeland Security</w:t>
            </w:r>
          </w:p>
        </w:tc>
        <w:tc>
          <w:tcPr>
            <w:tcW w:w="2095" w:type="dxa"/>
          </w:tcPr>
          <w:p w14:paraId="562CC12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7EE1DCC3" w14:textId="77777777" w:rsidTr="00851662">
        <w:tc>
          <w:tcPr>
            <w:tcW w:w="915" w:type="dxa"/>
          </w:tcPr>
          <w:p w14:paraId="6B2EE28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11</w:t>
            </w:r>
          </w:p>
        </w:tc>
        <w:tc>
          <w:tcPr>
            <w:tcW w:w="5355" w:type="dxa"/>
          </w:tcPr>
          <w:p w14:paraId="00B520E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Land Management</w:t>
            </w:r>
          </w:p>
        </w:tc>
        <w:tc>
          <w:tcPr>
            <w:tcW w:w="2095" w:type="dxa"/>
          </w:tcPr>
          <w:p w14:paraId="3FBADDF5"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406A23C" w14:textId="77777777" w:rsidTr="00851662">
        <w:tc>
          <w:tcPr>
            <w:tcW w:w="915" w:type="dxa"/>
          </w:tcPr>
          <w:p w14:paraId="39DF2B9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12</w:t>
            </w:r>
          </w:p>
        </w:tc>
        <w:tc>
          <w:tcPr>
            <w:tcW w:w="5355" w:type="dxa"/>
          </w:tcPr>
          <w:p w14:paraId="4196FD9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Reclamation</w:t>
            </w:r>
          </w:p>
        </w:tc>
        <w:tc>
          <w:tcPr>
            <w:tcW w:w="2095" w:type="dxa"/>
          </w:tcPr>
          <w:p w14:paraId="588A7DB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6A9E114" w14:textId="77777777" w:rsidTr="00851662">
        <w:tc>
          <w:tcPr>
            <w:tcW w:w="915" w:type="dxa"/>
          </w:tcPr>
          <w:p w14:paraId="1D8ACB3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13</w:t>
            </w:r>
          </w:p>
        </w:tc>
        <w:tc>
          <w:tcPr>
            <w:tcW w:w="5355" w:type="dxa"/>
          </w:tcPr>
          <w:p w14:paraId="70A1BFC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National Park Service</w:t>
            </w:r>
          </w:p>
        </w:tc>
        <w:tc>
          <w:tcPr>
            <w:tcW w:w="2095" w:type="dxa"/>
          </w:tcPr>
          <w:p w14:paraId="0847699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8C5124C" w14:textId="77777777" w:rsidTr="00851662">
        <w:tc>
          <w:tcPr>
            <w:tcW w:w="915" w:type="dxa"/>
          </w:tcPr>
          <w:p w14:paraId="2E2C8A5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14</w:t>
            </w:r>
          </w:p>
        </w:tc>
        <w:tc>
          <w:tcPr>
            <w:tcW w:w="5355" w:type="dxa"/>
          </w:tcPr>
          <w:p w14:paraId="7DC40FC8"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Navy</w:t>
            </w:r>
          </w:p>
        </w:tc>
        <w:tc>
          <w:tcPr>
            <w:tcW w:w="2095" w:type="dxa"/>
          </w:tcPr>
          <w:p w14:paraId="659E663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3DCDC5B2" w14:textId="77777777" w:rsidTr="00851662">
        <w:tc>
          <w:tcPr>
            <w:tcW w:w="915" w:type="dxa"/>
          </w:tcPr>
          <w:p w14:paraId="0B5BA2D0"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15</w:t>
            </w:r>
          </w:p>
        </w:tc>
        <w:tc>
          <w:tcPr>
            <w:tcW w:w="5355" w:type="dxa"/>
          </w:tcPr>
          <w:p w14:paraId="5581B7B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Transportation</w:t>
            </w:r>
          </w:p>
        </w:tc>
        <w:tc>
          <w:tcPr>
            <w:tcW w:w="2095" w:type="dxa"/>
          </w:tcPr>
          <w:p w14:paraId="6C70C8A1"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1DF07A5" w14:textId="77777777" w:rsidTr="00851662">
        <w:tc>
          <w:tcPr>
            <w:tcW w:w="915" w:type="dxa"/>
          </w:tcPr>
          <w:p w14:paraId="1A260539"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16</w:t>
            </w:r>
          </w:p>
        </w:tc>
        <w:tc>
          <w:tcPr>
            <w:tcW w:w="5355" w:type="dxa"/>
          </w:tcPr>
          <w:p w14:paraId="3FA3211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Veterans Affairs</w:t>
            </w:r>
          </w:p>
        </w:tc>
        <w:tc>
          <w:tcPr>
            <w:tcW w:w="2095" w:type="dxa"/>
          </w:tcPr>
          <w:p w14:paraId="703950D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1EE018C1" w14:textId="77777777" w:rsidTr="00851662">
        <w:tc>
          <w:tcPr>
            <w:tcW w:w="915" w:type="dxa"/>
          </w:tcPr>
          <w:p w14:paraId="44351FFB"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17</w:t>
            </w:r>
          </w:p>
        </w:tc>
        <w:tc>
          <w:tcPr>
            <w:tcW w:w="5355" w:type="dxa"/>
          </w:tcPr>
          <w:p w14:paraId="4518AE42"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Export-Import Bank</w:t>
            </w:r>
          </w:p>
        </w:tc>
        <w:tc>
          <w:tcPr>
            <w:tcW w:w="2095" w:type="dxa"/>
          </w:tcPr>
          <w:p w14:paraId="5EE1FE2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3C63A94" w14:textId="77777777" w:rsidTr="00851662">
        <w:tc>
          <w:tcPr>
            <w:tcW w:w="915" w:type="dxa"/>
          </w:tcPr>
          <w:p w14:paraId="16225DE3"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18</w:t>
            </w:r>
          </w:p>
        </w:tc>
        <w:tc>
          <w:tcPr>
            <w:tcW w:w="5355" w:type="dxa"/>
          </w:tcPr>
          <w:p w14:paraId="3F7882AA"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Farm Credit System Insurance Corporation</w:t>
            </w:r>
          </w:p>
        </w:tc>
        <w:tc>
          <w:tcPr>
            <w:tcW w:w="2095" w:type="dxa"/>
          </w:tcPr>
          <w:p w14:paraId="0D398C4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DB41D39" w14:textId="77777777" w:rsidTr="00851662">
        <w:tc>
          <w:tcPr>
            <w:tcW w:w="915" w:type="dxa"/>
          </w:tcPr>
          <w:p w14:paraId="16C23CF9"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19</w:t>
            </w:r>
          </w:p>
        </w:tc>
        <w:tc>
          <w:tcPr>
            <w:tcW w:w="5355" w:type="dxa"/>
          </w:tcPr>
          <w:p w14:paraId="34A9E404"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Communications Commission</w:t>
            </w:r>
          </w:p>
        </w:tc>
        <w:tc>
          <w:tcPr>
            <w:tcW w:w="2095" w:type="dxa"/>
          </w:tcPr>
          <w:p w14:paraId="749D32D5"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18B002F" w14:textId="77777777" w:rsidTr="00851662">
        <w:tc>
          <w:tcPr>
            <w:tcW w:w="915" w:type="dxa"/>
          </w:tcPr>
          <w:p w14:paraId="11D1F9B0"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20</w:t>
            </w:r>
          </w:p>
        </w:tc>
        <w:tc>
          <w:tcPr>
            <w:tcW w:w="5355" w:type="dxa"/>
          </w:tcPr>
          <w:p w14:paraId="3F649095"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Housing Finance Agency</w:t>
            </w:r>
          </w:p>
        </w:tc>
        <w:tc>
          <w:tcPr>
            <w:tcW w:w="2095" w:type="dxa"/>
          </w:tcPr>
          <w:p w14:paraId="100B6E1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A624B6F" w14:textId="77777777" w:rsidTr="00851662">
        <w:tc>
          <w:tcPr>
            <w:tcW w:w="915" w:type="dxa"/>
          </w:tcPr>
          <w:p w14:paraId="6C92DBC5"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21</w:t>
            </w:r>
          </w:p>
        </w:tc>
        <w:tc>
          <w:tcPr>
            <w:tcW w:w="5355" w:type="dxa"/>
          </w:tcPr>
          <w:p w14:paraId="59060675"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Retirement Thrift Investment Board</w:t>
            </w:r>
          </w:p>
        </w:tc>
        <w:tc>
          <w:tcPr>
            <w:tcW w:w="2095" w:type="dxa"/>
          </w:tcPr>
          <w:p w14:paraId="573293F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028C1FC" w14:textId="77777777" w:rsidTr="00851662">
        <w:tc>
          <w:tcPr>
            <w:tcW w:w="915" w:type="dxa"/>
          </w:tcPr>
          <w:p w14:paraId="37F4B4B8"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22</w:t>
            </w:r>
          </w:p>
        </w:tc>
        <w:tc>
          <w:tcPr>
            <w:tcW w:w="5355" w:type="dxa"/>
          </w:tcPr>
          <w:p w14:paraId="41C5D70D"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General Services Administration</w:t>
            </w:r>
          </w:p>
        </w:tc>
        <w:tc>
          <w:tcPr>
            <w:tcW w:w="2095" w:type="dxa"/>
          </w:tcPr>
          <w:p w14:paraId="5DD7F04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0E81668B" w14:textId="77777777" w:rsidTr="00851662">
        <w:tc>
          <w:tcPr>
            <w:tcW w:w="915" w:type="dxa"/>
          </w:tcPr>
          <w:p w14:paraId="76A6A840"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23</w:t>
            </w:r>
          </w:p>
        </w:tc>
        <w:tc>
          <w:tcPr>
            <w:tcW w:w="5355" w:type="dxa"/>
          </w:tcPr>
          <w:p w14:paraId="729198EE"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John F. Kennedy Center of the Performing Arts</w:t>
            </w:r>
          </w:p>
        </w:tc>
        <w:tc>
          <w:tcPr>
            <w:tcW w:w="2095" w:type="dxa"/>
          </w:tcPr>
          <w:p w14:paraId="56A4E21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7716482" w14:textId="77777777" w:rsidTr="00851662">
        <w:tc>
          <w:tcPr>
            <w:tcW w:w="915" w:type="dxa"/>
          </w:tcPr>
          <w:p w14:paraId="15479719"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24</w:t>
            </w:r>
          </w:p>
        </w:tc>
        <w:tc>
          <w:tcPr>
            <w:tcW w:w="5355" w:type="dxa"/>
          </w:tcPr>
          <w:p w14:paraId="767C613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Merit Systems Protection Board</w:t>
            </w:r>
          </w:p>
        </w:tc>
        <w:tc>
          <w:tcPr>
            <w:tcW w:w="2095" w:type="dxa"/>
          </w:tcPr>
          <w:p w14:paraId="1CA956B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38273AD" w14:textId="77777777" w:rsidTr="00851662">
        <w:tc>
          <w:tcPr>
            <w:tcW w:w="915" w:type="dxa"/>
          </w:tcPr>
          <w:p w14:paraId="44298C85"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25</w:t>
            </w:r>
          </w:p>
        </w:tc>
        <w:tc>
          <w:tcPr>
            <w:tcW w:w="5355" w:type="dxa"/>
          </w:tcPr>
          <w:p w14:paraId="0900942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Millennium Challenge Corporation </w:t>
            </w:r>
          </w:p>
        </w:tc>
        <w:tc>
          <w:tcPr>
            <w:tcW w:w="2095" w:type="dxa"/>
          </w:tcPr>
          <w:p w14:paraId="763F3FE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9488910" w14:textId="77777777" w:rsidTr="00851662">
        <w:trPr>
          <w:trHeight w:val="480"/>
        </w:trPr>
        <w:tc>
          <w:tcPr>
            <w:tcW w:w="915" w:type="dxa"/>
          </w:tcPr>
          <w:p w14:paraId="6E9CA510" w14:textId="77777777" w:rsidR="00E33534" w:rsidRPr="009F7F5C" w:rsidRDefault="00E33534" w:rsidP="00E33534">
            <w:pPr>
              <w:spacing w:after="0" w:line="240" w:lineRule="auto"/>
              <w:ind w:left="0" w:firstLine="0"/>
              <w:rPr>
                <w:rFonts w:ascii="Calibri Light" w:eastAsia="Times New Roman" w:hAnsi="Calibri Light" w:cs="Calibri Light"/>
              </w:rPr>
            </w:pPr>
            <w:r>
              <w:rPr>
                <w:rFonts w:ascii="Calibri Light" w:eastAsia="Times New Roman" w:hAnsi="Calibri Light" w:cs="Calibri Light"/>
              </w:rPr>
              <w:t xml:space="preserve">     26</w:t>
            </w:r>
          </w:p>
        </w:tc>
        <w:tc>
          <w:tcPr>
            <w:tcW w:w="5355" w:type="dxa"/>
          </w:tcPr>
          <w:p w14:paraId="0A75425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Morris K. Udall Scholarship and Excellence in National Environmental Policy Foundation</w:t>
            </w:r>
          </w:p>
        </w:tc>
        <w:tc>
          <w:tcPr>
            <w:tcW w:w="2095" w:type="dxa"/>
          </w:tcPr>
          <w:p w14:paraId="4F7EA9E5" w14:textId="52E7CC24" w:rsidR="00E33534" w:rsidRPr="009F7F5C" w:rsidRDefault="00E33534" w:rsidP="00586ABD">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316DFEB" w14:textId="77777777" w:rsidTr="00851662">
        <w:tc>
          <w:tcPr>
            <w:tcW w:w="915" w:type="dxa"/>
          </w:tcPr>
          <w:p w14:paraId="7EBF009A"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27</w:t>
            </w:r>
          </w:p>
        </w:tc>
        <w:tc>
          <w:tcPr>
            <w:tcW w:w="5355" w:type="dxa"/>
          </w:tcPr>
          <w:p w14:paraId="00871354"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Aeronautics and Space Administration</w:t>
            </w:r>
          </w:p>
        </w:tc>
        <w:tc>
          <w:tcPr>
            <w:tcW w:w="2095" w:type="dxa"/>
          </w:tcPr>
          <w:p w14:paraId="58FD28E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B4B0593" w14:textId="77777777" w:rsidTr="00851662">
        <w:tc>
          <w:tcPr>
            <w:tcW w:w="915" w:type="dxa"/>
          </w:tcPr>
          <w:p w14:paraId="1F98E994"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28</w:t>
            </w:r>
          </w:p>
        </w:tc>
        <w:tc>
          <w:tcPr>
            <w:tcW w:w="5355" w:type="dxa"/>
          </w:tcPr>
          <w:p w14:paraId="484596E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Archives and Records Administration</w:t>
            </w:r>
          </w:p>
        </w:tc>
        <w:tc>
          <w:tcPr>
            <w:tcW w:w="2095" w:type="dxa"/>
          </w:tcPr>
          <w:p w14:paraId="30BA047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ACCCCC2" w14:textId="77777777" w:rsidTr="00851662">
        <w:tc>
          <w:tcPr>
            <w:tcW w:w="915" w:type="dxa"/>
          </w:tcPr>
          <w:p w14:paraId="3821D442"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29</w:t>
            </w:r>
          </w:p>
        </w:tc>
        <w:tc>
          <w:tcPr>
            <w:tcW w:w="5355" w:type="dxa"/>
          </w:tcPr>
          <w:p w14:paraId="04D8CB8F"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Peace Corps</w:t>
            </w:r>
          </w:p>
        </w:tc>
        <w:tc>
          <w:tcPr>
            <w:tcW w:w="2095" w:type="dxa"/>
          </w:tcPr>
          <w:p w14:paraId="0C05EFCA"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099399C" w14:textId="77777777" w:rsidTr="00851662">
        <w:tc>
          <w:tcPr>
            <w:tcW w:w="915" w:type="dxa"/>
          </w:tcPr>
          <w:p w14:paraId="7DD8070A"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30</w:t>
            </w:r>
          </w:p>
        </w:tc>
        <w:tc>
          <w:tcPr>
            <w:tcW w:w="5355" w:type="dxa"/>
          </w:tcPr>
          <w:p w14:paraId="6392FF4B"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Pretrial Services Agency for the District of Columbia</w:t>
            </w:r>
          </w:p>
        </w:tc>
        <w:tc>
          <w:tcPr>
            <w:tcW w:w="2095" w:type="dxa"/>
          </w:tcPr>
          <w:p w14:paraId="1958D96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46CEDE86" w14:textId="77777777" w:rsidTr="00851662">
        <w:tc>
          <w:tcPr>
            <w:tcW w:w="915" w:type="dxa"/>
          </w:tcPr>
          <w:p w14:paraId="1143CC73"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31</w:t>
            </w:r>
          </w:p>
        </w:tc>
        <w:tc>
          <w:tcPr>
            <w:tcW w:w="5355" w:type="dxa"/>
          </w:tcPr>
          <w:p w14:paraId="710702C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Securities and Exchange Commission</w:t>
            </w:r>
          </w:p>
        </w:tc>
        <w:tc>
          <w:tcPr>
            <w:tcW w:w="2095" w:type="dxa"/>
          </w:tcPr>
          <w:p w14:paraId="3502C86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32868155" w14:textId="77777777" w:rsidTr="00851662">
        <w:tc>
          <w:tcPr>
            <w:tcW w:w="915" w:type="dxa"/>
          </w:tcPr>
          <w:p w14:paraId="093BA2FC" w14:textId="77777777" w:rsidR="00E33534" w:rsidRPr="009F7F5C" w:rsidRDefault="00E33534" w:rsidP="00E33534">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32</w:t>
            </w:r>
          </w:p>
        </w:tc>
        <w:tc>
          <w:tcPr>
            <w:tcW w:w="5355" w:type="dxa"/>
          </w:tcPr>
          <w:p w14:paraId="4FE84B0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United States Holocaust Memorial Museum </w:t>
            </w:r>
          </w:p>
        </w:tc>
        <w:tc>
          <w:tcPr>
            <w:tcW w:w="2095" w:type="dxa"/>
          </w:tcPr>
          <w:p w14:paraId="1D932F3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bl>
    <w:p w14:paraId="43AFD928" w14:textId="4C2AA162" w:rsidR="00E33534"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p>
    <w:p w14:paraId="1A7DFBE1" w14:textId="77777777" w:rsidR="00E33534"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p>
    <w:p w14:paraId="547E4194" w14:textId="3F31D547" w:rsidR="00B34815" w:rsidRDefault="00B34815">
      <w:pPr>
        <w:ind w:left="0" w:firstLine="0"/>
        <w:rPr>
          <w:rFonts w:ascii="Times New Roman" w:eastAsia="Times New Roman" w:hAnsi="Times New Roman" w:cs="Times New Roman"/>
          <w:sz w:val="24"/>
          <w:szCs w:val="24"/>
        </w:rPr>
      </w:pPr>
    </w:p>
    <w:sectPr w:rsidR="00B34815">
      <w:head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FD22" w14:textId="77777777" w:rsidR="00FB309C" w:rsidRDefault="00FB309C">
      <w:pPr>
        <w:spacing w:after="0" w:line="240" w:lineRule="auto"/>
      </w:pPr>
      <w:r>
        <w:separator/>
      </w:r>
    </w:p>
  </w:endnote>
  <w:endnote w:type="continuationSeparator" w:id="0">
    <w:p w14:paraId="6CDBAB05" w14:textId="77777777" w:rsidR="00FB309C" w:rsidRDefault="00FB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42B8" w14:textId="77777777" w:rsidR="00985B19" w:rsidRDefault="00985B19">
    <w:pPr>
      <w:pBdr>
        <w:top w:val="nil"/>
        <w:left w:val="nil"/>
        <w:bottom w:val="nil"/>
        <w:right w:val="nil"/>
        <w:between w:val="nil"/>
      </w:pBdr>
      <w:spacing w:after="0" w:line="240" w:lineRule="auto"/>
      <w:ind w:hanging="2"/>
      <w:jc w:val="center"/>
      <w:rPr>
        <w:color w:val="000000"/>
      </w:rPr>
    </w:pPr>
    <w:r>
      <w:rPr>
        <w:rFonts w:ascii="Times New Roman" w:eastAsia="Times New Roman" w:hAnsi="Times New Roman" w:cs="Times New Roman"/>
        <w:color w:val="000000"/>
        <w:sz w:val="24"/>
        <w:szCs w:val="24"/>
      </w:rPr>
      <w:t>Authorized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9F3C" w14:textId="77777777" w:rsidR="00985B19" w:rsidRDefault="00985B19">
    <w:pPr>
      <w:pBdr>
        <w:top w:val="nil"/>
        <w:left w:val="nil"/>
        <w:bottom w:val="nil"/>
        <w:right w:val="nil"/>
        <w:between w:val="nil"/>
      </w:pBdr>
      <w:spacing w:after="0" w:line="240" w:lineRule="auto"/>
      <w:ind w:hanging="2"/>
      <w:jc w:val="center"/>
      <w:rPr>
        <w:color w:val="000000"/>
      </w:rPr>
    </w:pPr>
  </w:p>
  <w:p w14:paraId="7858A679" w14:textId="77777777" w:rsidR="00985B19" w:rsidRDefault="00985B19">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BF75C73" w14:textId="77777777" w:rsidR="00985B19" w:rsidRDefault="00985B19">
    <w:pPr>
      <w:widowControl w:val="0"/>
      <w:pBdr>
        <w:top w:val="nil"/>
        <w:left w:val="nil"/>
        <w:bottom w:val="nil"/>
        <w:right w:val="nil"/>
        <w:between w:val="nil"/>
      </w:pBdr>
      <w:spacing w:after="0" w:line="276" w:lineRule="auto"/>
      <w:ind w:firstLine="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8703" w14:textId="0C25FE4D" w:rsidR="00985B19" w:rsidRDefault="00985B19">
    <w:pPr>
      <w:pBdr>
        <w:top w:val="nil"/>
        <w:left w:val="nil"/>
        <w:bottom w:val="nil"/>
        <w:right w:val="nil"/>
        <w:between w:val="nil"/>
      </w:pBdr>
      <w:spacing w:after="0" w:line="240" w:lineRule="auto"/>
      <w:ind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5FEB" w14:textId="77777777" w:rsidR="00FB309C" w:rsidRDefault="00FB309C">
      <w:pPr>
        <w:spacing w:after="0" w:line="240" w:lineRule="auto"/>
      </w:pPr>
      <w:r>
        <w:separator/>
      </w:r>
    </w:p>
  </w:footnote>
  <w:footnote w:type="continuationSeparator" w:id="0">
    <w:p w14:paraId="5B62785A" w14:textId="77777777" w:rsidR="00FB309C" w:rsidRDefault="00FB309C">
      <w:pPr>
        <w:spacing w:after="0" w:line="240" w:lineRule="auto"/>
      </w:pPr>
      <w:r>
        <w:continuationSeparator/>
      </w:r>
    </w:p>
  </w:footnote>
  <w:footnote w:id="1">
    <w:p w14:paraId="085D2DCD" w14:textId="77777777" w:rsidR="00B34815" w:rsidRDefault="007213CB">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The E.O. defines “Federal property managing agencies” as “agencies that have custody and control of, or responsibility for managing, Federal lands, buildings, and rights of way, federally assisted highways, and tribal lands.”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10B2" w14:textId="77777777" w:rsidR="00985B19" w:rsidRDefault="00985B19">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5B3A" w14:textId="2E83459E" w:rsidR="00985B19" w:rsidRPr="002E3EAE" w:rsidRDefault="00985B19" w:rsidP="002E3EAE">
    <w:pPr>
      <w:pBdr>
        <w:top w:val="nil"/>
        <w:left w:val="nil"/>
        <w:bottom w:val="nil"/>
        <w:right w:val="nil"/>
        <w:between w:val="nil"/>
      </w:pBdr>
      <w:spacing w:after="0" w:line="240" w:lineRule="auto"/>
      <w:ind w:hanging="2"/>
      <w:jc w:val="center"/>
      <w:rPr>
        <w:b/>
        <w:bCs/>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18E6" w14:textId="77777777" w:rsidR="00985B19" w:rsidRDefault="00985B19">
    <w:pPr>
      <w:tabs>
        <w:tab w:val="right" w:pos="9350"/>
      </w:tabs>
      <w:spacing w:after="0" w:line="240" w:lineRule="auto"/>
      <w:ind w:firstLine="0"/>
      <w:rPr>
        <w:color w:val="000000"/>
      </w:rPr>
    </w:pPr>
    <w:r>
      <w:rPr>
        <w:noProof/>
      </w:rPr>
      <mc:AlternateContent>
        <mc:Choice Requires="wps">
          <w:drawing>
            <wp:inline distT="0" distB="0" distL="0" distR="0" wp14:anchorId="57BABAFF" wp14:editId="2B6F8C8C">
              <wp:extent cx="725805" cy="657225"/>
              <wp:effectExtent l="0" t="0" r="0" b="9525"/>
              <wp:docPr id="1" name="Freeform: Shape 1" descr="GSA Logo. "/>
              <wp:cNvGraphicFramePr/>
              <a:graphic xmlns:a="http://schemas.openxmlformats.org/drawingml/2006/main">
                <a:graphicData uri="http://schemas.microsoft.com/office/word/2010/wordprocessingShape">
                  <wps:wsp>
                    <wps:cNvSpPr/>
                    <wps:spPr>
                      <a:xfrm>
                        <a:off x="4992623" y="3460913"/>
                        <a:ext cx="706755" cy="638175"/>
                      </a:xfrm>
                      <a:custGeom>
                        <a:avLst/>
                        <a:gdLst/>
                        <a:ahLst/>
                        <a:cxnLst/>
                        <a:rect l="l" t="t" r="r" b="b"/>
                        <a:pathLst>
                          <a:path w="1113" h="1005" extrusionOk="0">
                            <a:moveTo>
                              <a:pt x="1002" y="0"/>
                            </a:moveTo>
                            <a:lnTo>
                              <a:pt x="937" y="0"/>
                            </a:lnTo>
                            <a:lnTo>
                              <a:pt x="937" y="833"/>
                            </a:lnTo>
                            <a:lnTo>
                              <a:pt x="880" y="833"/>
                            </a:lnTo>
                            <a:lnTo>
                              <a:pt x="839" y="738"/>
                            </a:lnTo>
                            <a:lnTo>
                              <a:pt x="827" y="708"/>
                            </a:lnTo>
                            <a:lnTo>
                              <a:pt x="865" y="673"/>
                            </a:lnTo>
                            <a:lnTo>
                              <a:pt x="937" y="833"/>
                            </a:lnTo>
                            <a:lnTo>
                              <a:pt x="937" y="0"/>
                            </a:lnTo>
                            <a:lnTo>
                              <a:pt x="864" y="0"/>
                            </a:lnTo>
                            <a:lnTo>
                              <a:pt x="864" y="671"/>
                            </a:lnTo>
                            <a:lnTo>
                              <a:pt x="826" y="671"/>
                            </a:lnTo>
                            <a:lnTo>
                              <a:pt x="826" y="768"/>
                            </a:lnTo>
                            <a:lnTo>
                              <a:pt x="692" y="833"/>
                            </a:lnTo>
                            <a:lnTo>
                              <a:pt x="637" y="833"/>
                            </a:lnTo>
                            <a:lnTo>
                              <a:pt x="709" y="673"/>
                            </a:lnTo>
                            <a:lnTo>
                              <a:pt x="747" y="709"/>
                            </a:lnTo>
                            <a:lnTo>
                              <a:pt x="719" y="773"/>
                            </a:lnTo>
                            <a:lnTo>
                              <a:pt x="787" y="738"/>
                            </a:lnTo>
                            <a:lnTo>
                              <a:pt x="826" y="768"/>
                            </a:lnTo>
                            <a:lnTo>
                              <a:pt x="826" y="671"/>
                            </a:lnTo>
                            <a:lnTo>
                              <a:pt x="810" y="671"/>
                            </a:lnTo>
                            <a:lnTo>
                              <a:pt x="787" y="613"/>
                            </a:lnTo>
                            <a:lnTo>
                              <a:pt x="763" y="671"/>
                            </a:lnTo>
                            <a:lnTo>
                              <a:pt x="709" y="671"/>
                            </a:lnTo>
                            <a:lnTo>
                              <a:pt x="756" y="568"/>
                            </a:lnTo>
                            <a:lnTo>
                              <a:pt x="784" y="505"/>
                            </a:lnTo>
                            <a:lnTo>
                              <a:pt x="787" y="498"/>
                            </a:lnTo>
                            <a:lnTo>
                              <a:pt x="864" y="671"/>
                            </a:lnTo>
                            <a:lnTo>
                              <a:pt x="864" y="0"/>
                            </a:lnTo>
                            <a:lnTo>
                              <a:pt x="606" y="0"/>
                            </a:lnTo>
                            <a:lnTo>
                              <a:pt x="606" y="741"/>
                            </a:lnTo>
                            <a:lnTo>
                              <a:pt x="596" y="786"/>
                            </a:lnTo>
                            <a:lnTo>
                              <a:pt x="570" y="817"/>
                            </a:lnTo>
                            <a:lnTo>
                              <a:pt x="532" y="834"/>
                            </a:lnTo>
                            <a:lnTo>
                              <a:pt x="487" y="839"/>
                            </a:lnTo>
                            <a:lnTo>
                              <a:pt x="470" y="838"/>
                            </a:lnTo>
                            <a:lnTo>
                              <a:pt x="453" y="834"/>
                            </a:lnTo>
                            <a:lnTo>
                              <a:pt x="436" y="830"/>
                            </a:lnTo>
                            <a:lnTo>
                              <a:pt x="418" y="825"/>
                            </a:lnTo>
                            <a:lnTo>
                              <a:pt x="424" y="774"/>
                            </a:lnTo>
                            <a:lnTo>
                              <a:pt x="440" y="780"/>
                            </a:lnTo>
                            <a:lnTo>
                              <a:pt x="457" y="786"/>
                            </a:lnTo>
                            <a:lnTo>
                              <a:pt x="475" y="790"/>
                            </a:lnTo>
                            <a:lnTo>
                              <a:pt x="492" y="791"/>
                            </a:lnTo>
                            <a:lnTo>
                              <a:pt x="514" y="788"/>
                            </a:lnTo>
                            <a:lnTo>
                              <a:pt x="532" y="780"/>
                            </a:lnTo>
                            <a:lnTo>
                              <a:pt x="537" y="774"/>
                            </a:lnTo>
                            <a:lnTo>
                              <a:pt x="545" y="765"/>
                            </a:lnTo>
                            <a:lnTo>
                              <a:pt x="550" y="744"/>
                            </a:lnTo>
                            <a:lnTo>
                              <a:pt x="547" y="727"/>
                            </a:lnTo>
                            <a:lnTo>
                              <a:pt x="537" y="714"/>
                            </a:lnTo>
                            <a:lnTo>
                              <a:pt x="524" y="704"/>
                            </a:lnTo>
                            <a:lnTo>
                              <a:pt x="510" y="695"/>
                            </a:lnTo>
                            <a:lnTo>
                              <a:pt x="476" y="679"/>
                            </a:lnTo>
                            <a:lnTo>
                              <a:pt x="446" y="660"/>
                            </a:lnTo>
                            <a:lnTo>
                              <a:pt x="442" y="656"/>
                            </a:lnTo>
                            <a:lnTo>
                              <a:pt x="423" y="634"/>
                            </a:lnTo>
                            <a:lnTo>
                              <a:pt x="415" y="595"/>
                            </a:lnTo>
                            <a:lnTo>
                              <a:pt x="418" y="578"/>
                            </a:lnTo>
                            <a:lnTo>
                              <a:pt x="423" y="556"/>
                            </a:lnTo>
                            <a:lnTo>
                              <a:pt x="446" y="528"/>
                            </a:lnTo>
                            <a:lnTo>
                              <a:pt x="479" y="511"/>
                            </a:lnTo>
                            <a:lnTo>
                              <a:pt x="520" y="505"/>
                            </a:lnTo>
                            <a:lnTo>
                              <a:pt x="537" y="506"/>
                            </a:lnTo>
                            <a:lnTo>
                              <a:pt x="554" y="508"/>
                            </a:lnTo>
                            <a:lnTo>
                              <a:pt x="573" y="512"/>
                            </a:lnTo>
                            <a:lnTo>
                              <a:pt x="592" y="518"/>
                            </a:lnTo>
                            <a:lnTo>
                              <a:pt x="584" y="568"/>
                            </a:lnTo>
                            <a:lnTo>
                              <a:pt x="566" y="561"/>
                            </a:lnTo>
                            <a:lnTo>
                              <a:pt x="551" y="557"/>
                            </a:lnTo>
                            <a:lnTo>
                              <a:pt x="537" y="554"/>
                            </a:lnTo>
                            <a:lnTo>
                              <a:pt x="522" y="553"/>
                            </a:lnTo>
                            <a:lnTo>
                              <a:pt x="503" y="555"/>
                            </a:lnTo>
                            <a:lnTo>
                              <a:pt x="487" y="561"/>
                            </a:lnTo>
                            <a:lnTo>
                              <a:pt x="475" y="573"/>
                            </a:lnTo>
                            <a:lnTo>
                              <a:pt x="471" y="591"/>
                            </a:lnTo>
                            <a:lnTo>
                              <a:pt x="475" y="606"/>
                            </a:lnTo>
                            <a:lnTo>
                              <a:pt x="485" y="618"/>
                            </a:lnTo>
                            <a:lnTo>
                              <a:pt x="498" y="627"/>
                            </a:lnTo>
                            <a:lnTo>
                              <a:pt x="511" y="634"/>
                            </a:lnTo>
                            <a:lnTo>
                              <a:pt x="546" y="652"/>
                            </a:lnTo>
                            <a:lnTo>
                              <a:pt x="576" y="672"/>
                            </a:lnTo>
                            <a:lnTo>
                              <a:pt x="598" y="700"/>
                            </a:lnTo>
                            <a:lnTo>
                              <a:pt x="606" y="741"/>
                            </a:lnTo>
                            <a:lnTo>
                              <a:pt x="606" y="0"/>
                            </a:lnTo>
                            <a:lnTo>
                              <a:pt x="343" y="0"/>
                            </a:lnTo>
                            <a:lnTo>
                              <a:pt x="343" y="656"/>
                            </a:lnTo>
                            <a:lnTo>
                              <a:pt x="343" y="824"/>
                            </a:lnTo>
                            <a:lnTo>
                              <a:pt x="326" y="829"/>
                            </a:lnTo>
                            <a:lnTo>
                              <a:pt x="304" y="834"/>
                            </a:lnTo>
                            <a:lnTo>
                              <a:pt x="276" y="838"/>
                            </a:lnTo>
                            <a:lnTo>
                              <a:pt x="242" y="839"/>
                            </a:lnTo>
                            <a:lnTo>
                              <a:pt x="173" y="827"/>
                            </a:lnTo>
                            <a:lnTo>
                              <a:pt x="119" y="793"/>
                            </a:lnTo>
                            <a:lnTo>
                              <a:pt x="85" y="740"/>
                            </a:lnTo>
                            <a:lnTo>
                              <a:pt x="73" y="672"/>
                            </a:lnTo>
                            <a:lnTo>
                              <a:pt x="73" y="671"/>
                            </a:lnTo>
                            <a:lnTo>
                              <a:pt x="85" y="603"/>
                            </a:lnTo>
                            <a:lnTo>
                              <a:pt x="121" y="551"/>
                            </a:lnTo>
                            <a:lnTo>
                              <a:pt x="175" y="517"/>
                            </a:lnTo>
                            <a:lnTo>
                              <a:pt x="243" y="505"/>
                            </a:lnTo>
                            <a:lnTo>
                              <a:pt x="274" y="507"/>
                            </a:lnTo>
                            <a:lnTo>
                              <a:pt x="298" y="510"/>
                            </a:lnTo>
                            <a:lnTo>
                              <a:pt x="319" y="516"/>
                            </a:lnTo>
                            <a:lnTo>
                              <a:pt x="340" y="523"/>
                            </a:lnTo>
                            <a:lnTo>
                              <a:pt x="335" y="578"/>
                            </a:lnTo>
                            <a:lnTo>
                              <a:pt x="315" y="567"/>
                            </a:lnTo>
                            <a:lnTo>
                              <a:pt x="295" y="559"/>
                            </a:lnTo>
                            <a:lnTo>
                              <a:pt x="272" y="555"/>
                            </a:lnTo>
                            <a:lnTo>
                              <a:pt x="245" y="553"/>
                            </a:lnTo>
                            <a:lnTo>
                              <a:pt x="197" y="562"/>
                            </a:lnTo>
                            <a:lnTo>
                              <a:pt x="160" y="587"/>
                            </a:lnTo>
                            <a:lnTo>
                              <a:pt x="137" y="625"/>
                            </a:lnTo>
                            <a:lnTo>
                              <a:pt x="129" y="671"/>
                            </a:lnTo>
                            <a:lnTo>
                              <a:pt x="129" y="673"/>
                            </a:lnTo>
                            <a:lnTo>
                              <a:pt x="138" y="722"/>
                            </a:lnTo>
                            <a:lnTo>
                              <a:pt x="162" y="759"/>
                            </a:lnTo>
                            <a:lnTo>
                              <a:pt x="198" y="783"/>
                            </a:lnTo>
                            <a:lnTo>
                              <a:pt x="243" y="791"/>
                            </a:lnTo>
                            <a:lnTo>
                              <a:pt x="256" y="791"/>
                            </a:lnTo>
                            <a:lnTo>
                              <a:pt x="269" y="790"/>
                            </a:lnTo>
                            <a:lnTo>
                              <a:pt x="280" y="789"/>
                            </a:lnTo>
                            <a:lnTo>
                              <a:pt x="289" y="787"/>
                            </a:lnTo>
                            <a:lnTo>
                              <a:pt x="289" y="703"/>
                            </a:lnTo>
                            <a:lnTo>
                              <a:pt x="229" y="703"/>
                            </a:lnTo>
                            <a:lnTo>
                              <a:pt x="229" y="656"/>
                            </a:lnTo>
                            <a:lnTo>
                              <a:pt x="343" y="656"/>
                            </a:lnTo>
                            <a:lnTo>
                              <a:pt x="343" y="0"/>
                            </a:lnTo>
                            <a:lnTo>
                              <a:pt x="0" y="0"/>
                            </a:lnTo>
                            <a:lnTo>
                              <a:pt x="0" y="1005"/>
                            </a:lnTo>
                            <a:lnTo>
                              <a:pt x="1002" y="1005"/>
                            </a:lnTo>
                            <a:lnTo>
                              <a:pt x="1002" y="839"/>
                            </a:lnTo>
                            <a:lnTo>
                              <a:pt x="1002" y="833"/>
                            </a:lnTo>
                            <a:lnTo>
                              <a:pt x="1002" y="673"/>
                            </a:lnTo>
                            <a:lnTo>
                              <a:pt x="1002" y="671"/>
                            </a:lnTo>
                            <a:lnTo>
                              <a:pt x="1002" y="498"/>
                            </a:lnTo>
                            <a:lnTo>
                              <a:pt x="1002" y="0"/>
                            </a:lnTo>
                            <a:moveTo>
                              <a:pt x="1093" y="57"/>
                            </a:moveTo>
                            <a:lnTo>
                              <a:pt x="1084" y="43"/>
                            </a:lnTo>
                            <a:lnTo>
                              <a:pt x="1082" y="41"/>
                            </a:lnTo>
                            <a:lnTo>
                              <a:pt x="1081" y="40"/>
                            </a:lnTo>
                            <a:lnTo>
                              <a:pt x="1079" y="40"/>
                            </a:lnTo>
                            <a:lnTo>
                              <a:pt x="1085" y="39"/>
                            </a:lnTo>
                            <a:lnTo>
                              <a:pt x="1089" y="35"/>
                            </a:lnTo>
                            <a:lnTo>
                              <a:pt x="1090" y="35"/>
                            </a:lnTo>
                            <a:lnTo>
                              <a:pt x="1090" y="25"/>
                            </a:lnTo>
                            <a:lnTo>
                              <a:pt x="1089" y="23"/>
                            </a:lnTo>
                            <a:lnTo>
                              <a:pt x="1087" y="21"/>
                            </a:lnTo>
                            <a:lnTo>
                              <a:pt x="1084" y="19"/>
                            </a:lnTo>
                            <a:lnTo>
                              <a:pt x="1083" y="19"/>
                            </a:lnTo>
                            <a:lnTo>
                              <a:pt x="1083" y="25"/>
                            </a:lnTo>
                            <a:lnTo>
                              <a:pt x="1083" y="33"/>
                            </a:lnTo>
                            <a:lnTo>
                              <a:pt x="1080" y="35"/>
                            </a:lnTo>
                            <a:lnTo>
                              <a:pt x="1066" y="35"/>
                            </a:lnTo>
                            <a:lnTo>
                              <a:pt x="1066" y="23"/>
                            </a:lnTo>
                            <a:lnTo>
                              <a:pt x="1080" y="23"/>
                            </a:lnTo>
                            <a:lnTo>
                              <a:pt x="1083" y="25"/>
                            </a:lnTo>
                            <a:lnTo>
                              <a:pt x="1083" y="19"/>
                            </a:lnTo>
                            <a:lnTo>
                              <a:pt x="1081" y="18"/>
                            </a:lnTo>
                            <a:lnTo>
                              <a:pt x="1079" y="18"/>
                            </a:lnTo>
                            <a:lnTo>
                              <a:pt x="1060" y="18"/>
                            </a:lnTo>
                            <a:lnTo>
                              <a:pt x="1060" y="57"/>
                            </a:lnTo>
                            <a:lnTo>
                              <a:pt x="1066" y="57"/>
                            </a:lnTo>
                            <a:lnTo>
                              <a:pt x="1066" y="40"/>
                            </a:lnTo>
                            <a:lnTo>
                              <a:pt x="1075" y="40"/>
                            </a:lnTo>
                            <a:lnTo>
                              <a:pt x="1076" y="42"/>
                            </a:lnTo>
                            <a:lnTo>
                              <a:pt x="1081" y="51"/>
                            </a:lnTo>
                            <a:lnTo>
                              <a:pt x="1085" y="57"/>
                            </a:lnTo>
                            <a:lnTo>
                              <a:pt x="1093" y="57"/>
                            </a:lnTo>
                            <a:moveTo>
                              <a:pt x="1112" y="37"/>
                            </a:moveTo>
                            <a:lnTo>
                              <a:pt x="1109" y="23"/>
                            </a:lnTo>
                            <a:lnTo>
                              <a:pt x="1106" y="18"/>
                            </a:lnTo>
                            <a:lnTo>
                              <a:pt x="1106" y="37"/>
                            </a:lnTo>
                            <a:lnTo>
                              <a:pt x="1104" y="49"/>
                            </a:lnTo>
                            <a:lnTo>
                              <a:pt x="1097" y="59"/>
                            </a:lnTo>
                            <a:lnTo>
                              <a:pt x="1087" y="65"/>
                            </a:lnTo>
                            <a:lnTo>
                              <a:pt x="1076" y="67"/>
                            </a:lnTo>
                            <a:lnTo>
                              <a:pt x="1064" y="65"/>
                            </a:lnTo>
                            <a:lnTo>
                              <a:pt x="1054" y="59"/>
                            </a:lnTo>
                            <a:lnTo>
                              <a:pt x="1047" y="49"/>
                            </a:lnTo>
                            <a:lnTo>
                              <a:pt x="1045" y="37"/>
                            </a:lnTo>
                            <a:lnTo>
                              <a:pt x="1047" y="25"/>
                            </a:lnTo>
                            <a:lnTo>
                              <a:pt x="1054" y="15"/>
                            </a:lnTo>
                            <a:lnTo>
                              <a:pt x="1064" y="9"/>
                            </a:lnTo>
                            <a:lnTo>
                              <a:pt x="1076" y="6"/>
                            </a:lnTo>
                            <a:lnTo>
                              <a:pt x="1087" y="9"/>
                            </a:lnTo>
                            <a:lnTo>
                              <a:pt x="1097" y="15"/>
                            </a:lnTo>
                            <a:lnTo>
                              <a:pt x="1104" y="25"/>
                            </a:lnTo>
                            <a:lnTo>
                              <a:pt x="1106" y="37"/>
                            </a:lnTo>
                            <a:lnTo>
                              <a:pt x="1106" y="18"/>
                            </a:lnTo>
                            <a:lnTo>
                              <a:pt x="1101" y="11"/>
                            </a:lnTo>
                            <a:lnTo>
                              <a:pt x="1095" y="6"/>
                            </a:lnTo>
                            <a:lnTo>
                              <a:pt x="1090" y="3"/>
                            </a:lnTo>
                            <a:lnTo>
                              <a:pt x="1076" y="0"/>
                            </a:lnTo>
                            <a:lnTo>
                              <a:pt x="1061" y="3"/>
                            </a:lnTo>
                            <a:lnTo>
                              <a:pt x="1050" y="11"/>
                            </a:lnTo>
                            <a:lnTo>
                              <a:pt x="1042" y="23"/>
                            </a:lnTo>
                            <a:lnTo>
                              <a:pt x="1039" y="37"/>
                            </a:lnTo>
                            <a:lnTo>
                              <a:pt x="1042" y="51"/>
                            </a:lnTo>
                            <a:lnTo>
                              <a:pt x="1050" y="63"/>
                            </a:lnTo>
                            <a:lnTo>
                              <a:pt x="1061" y="71"/>
                            </a:lnTo>
                            <a:lnTo>
                              <a:pt x="1076" y="74"/>
                            </a:lnTo>
                            <a:lnTo>
                              <a:pt x="1090" y="71"/>
                            </a:lnTo>
                            <a:lnTo>
                              <a:pt x="1095" y="67"/>
                            </a:lnTo>
                            <a:lnTo>
                              <a:pt x="1101" y="63"/>
                            </a:lnTo>
                            <a:lnTo>
                              <a:pt x="1109" y="51"/>
                            </a:lnTo>
                            <a:lnTo>
                              <a:pt x="1112" y="37"/>
                            </a:lnTo>
                          </a:path>
                        </a:pathLst>
                      </a:custGeom>
                      <a:solidFill>
                        <a:srgbClr val="00467F"/>
                      </a:solidFill>
                      <a:ln>
                        <a:noFill/>
                      </a:ln>
                    </wps:spPr>
                    <wps:bodyPr spcFirstLastPara="1" wrap="square" lIns="91425" tIns="91425" rIns="91425" bIns="91425" anchor="ctr" anchorCtr="0">
                      <a:noAutofit/>
                    </wps:bodyPr>
                  </wps:wsp>
                </a:graphicData>
              </a:graphic>
            </wp:inline>
          </w:drawing>
        </mc:Choice>
        <mc:Fallback>
          <w:pict>
            <v:shape w14:anchorId="5109B26B" id="Freeform: Shape 1" o:spid="_x0000_s1026" alt="GSA Logo. " style="width:57.15pt;height:51.75pt;visibility:visible;mso-wrap-style:square;mso-left-percent:-10001;mso-top-percent:-10001;mso-position-horizontal:absolute;mso-position-horizontal-relative:char;mso-position-vertical:absolute;mso-position-vertical-relative:line;mso-left-percent:-10001;mso-top-percent:-10001;v-text-anchor:middle" coordsize="1113,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" path="m1002,l937,r,833l880,833,839,738,827,708r38,-35l937,833,937,,864,r,671l826,671r,97l692,833r-55,l709,673r38,36l719,773r68,-35l826,768r,-97l810,671,787,613r-24,58l709,671,756,568r28,-63l787,498r77,173l864,,606,r,741l596,786r-26,31l532,834r-45,5l470,838r-17,-4l436,830r-18,-5l424,774r16,6l457,786r18,4l492,791r22,-3l532,780r5,-6l545,765r5,-21l547,727,537,714,524,704r-14,-9l476,679,446,660r-4,-4l423,634r-8,-39l418,578r5,-22l446,528r33,-17l520,505r17,1l554,508r19,4l592,518r-8,50l566,561r-15,-4l537,554r-15,-1l503,555r-16,6l475,573r-4,18l475,606r10,12l498,627r13,7l546,652r30,20l598,700r8,41l606,,343,r,656l343,824r-17,5l304,834r-28,4l242,839,173,827,119,793,85,740,73,672r,-1l85,603r36,-52l175,517r68,-12l274,507r24,3l319,516r21,7l335,578,315,567r-20,-8l272,555r-27,-2l197,562r-37,25l137,625r-8,46l129,673r9,49l162,759r36,24l243,791r13,l269,790r11,-1l289,787r,-84l229,703r,-47l343,656,343,,,,,1005r1002,l1002,839r,-6l1002,673r,-2l1002,498,1002,t91,57l1084,43r-2,-2l1081,40r-2,l1085,39r4,-4l1090,35r,-10l1089,23r-2,-2l1084,19r-1,l1083,25r,8l1080,35r-14,l1066,23r14,l1083,25r,-6l1081,18r-2,l1060,18r,39l1066,57r,-17l1075,40r1,2l1081,51r4,6l1093,57t19,-20l1109,23r-3,-5l1106,37r-2,12l1097,59r-10,6l1076,67r-12,-2l1054,59r-7,-10l1045,37r2,-12l1054,15r10,-6l1076,6r11,3l1097,15r7,10l1106,37r,-19l1101,11r-6,-5l1090,3,1076,r-15,3l1050,11r-8,12l1039,37r3,14l1050,63r11,8l1076,74r14,-3l1095,67r6,-4l1109,51r3,-14e" fillcolor="#00467f" stroked="f">
              <v:path arrowok="t" o:extrusionok="f"/>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88C3" w14:textId="0DA1FAF1" w:rsidR="00B34815" w:rsidRDefault="007213CB">
    <w:pPr>
      <w:pBdr>
        <w:top w:val="nil"/>
        <w:left w:val="nil"/>
        <w:bottom w:val="nil"/>
        <w:right w:val="nil"/>
        <w:between w:val="nil"/>
      </w:pBdr>
      <w:spacing w:after="0" w:line="240" w:lineRule="auto"/>
      <w:ind w:left="1" w:hanging="3"/>
      <w:jc w:val="center"/>
      <w:rPr>
        <w:rFonts w:asciiTheme="majorHAnsi" w:eastAsia="Times New Roman" w:hAnsiTheme="majorHAnsi" w:cstheme="majorHAnsi"/>
        <w:b/>
        <w:color w:val="000000"/>
        <w:sz w:val="28"/>
        <w:szCs w:val="28"/>
      </w:rPr>
    </w:pPr>
    <w:r w:rsidRPr="00F32D0E">
      <w:rPr>
        <w:rFonts w:asciiTheme="majorHAnsi" w:eastAsia="Times New Roman" w:hAnsiTheme="majorHAnsi" w:cstheme="majorHAnsi"/>
        <w:b/>
        <w:color w:val="000000"/>
        <w:sz w:val="28"/>
        <w:szCs w:val="28"/>
      </w:rPr>
      <w:t xml:space="preserve">APPENDIX </w:t>
    </w:r>
    <w:r w:rsidR="002C4617">
      <w:rPr>
        <w:rFonts w:asciiTheme="majorHAnsi" w:eastAsia="Times New Roman" w:hAnsiTheme="majorHAnsi" w:cstheme="majorHAnsi"/>
        <w:b/>
        <w:color w:val="000000"/>
        <w:sz w:val="28"/>
        <w:szCs w:val="28"/>
      </w:rPr>
      <w:t>A</w:t>
    </w:r>
    <w:r w:rsidRPr="00F32D0E">
      <w:rPr>
        <w:rFonts w:asciiTheme="majorHAnsi" w:eastAsia="Times New Roman" w:hAnsiTheme="majorHAnsi" w:cstheme="majorHAnsi"/>
        <w:b/>
        <w:color w:val="000000"/>
        <w:sz w:val="28"/>
        <w:szCs w:val="28"/>
      </w:rPr>
      <w:t>: Federal Property Managing Agencies Surveyed</w:t>
    </w:r>
  </w:p>
  <w:p w14:paraId="2C4868C6" w14:textId="77777777" w:rsidR="00B34815" w:rsidRDefault="00B3481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9788" w14:textId="6C7CE105" w:rsidR="009109AA" w:rsidRDefault="009109AA">
    <w:pPr>
      <w:pBdr>
        <w:top w:val="nil"/>
        <w:left w:val="nil"/>
        <w:bottom w:val="nil"/>
        <w:right w:val="nil"/>
        <w:between w:val="nil"/>
      </w:pBdr>
      <w:spacing w:after="0" w:line="240" w:lineRule="auto"/>
      <w:ind w:left="1" w:hanging="3"/>
      <w:jc w:val="center"/>
      <w:rPr>
        <w:rFonts w:asciiTheme="majorHAnsi" w:eastAsia="Times New Roman" w:hAnsiTheme="majorHAnsi" w:cstheme="majorHAnsi"/>
        <w:b/>
        <w:color w:val="000000"/>
        <w:sz w:val="28"/>
        <w:szCs w:val="28"/>
      </w:rPr>
    </w:pPr>
    <w:r w:rsidRPr="00F32D0E">
      <w:rPr>
        <w:rFonts w:asciiTheme="majorHAnsi" w:eastAsia="Times New Roman" w:hAnsiTheme="majorHAnsi" w:cstheme="majorHAnsi"/>
        <w:b/>
        <w:color w:val="000000"/>
        <w:sz w:val="28"/>
        <w:szCs w:val="28"/>
      </w:rPr>
      <w:t xml:space="preserve">APPENDIX </w:t>
    </w:r>
    <w:r>
      <w:rPr>
        <w:rFonts w:asciiTheme="majorHAnsi" w:eastAsia="Times New Roman" w:hAnsiTheme="majorHAnsi" w:cstheme="majorHAnsi"/>
        <w:b/>
        <w:color w:val="000000"/>
        <w:sz w:val="28"/>
        <w:szCs w:val="28"/>
      </w:rPr>
      <w:t>B</w:t>
    </w:r>
    <w:r w:rsidRPr="00F32D0E">
      <w:rPr>
        <w:rFonts w:asciiTheme="majorHAnsi" w:eastAsia="Times New Roman" w:hAnsiTheme="majorHAnsi" w:cstheme="majorHAnsi"/>
        <w:b/>
        <w:color w:val="000000"/>
        <w:sz w:val="28"/>
        <w:szCs w:val="28"/>
      </w:rPr>
      <w:t>: Federal Property Managing Agencies Surveyed</w:t>
    </w:r>
  </w:p>
  <w:p w14:paraId="79D513C5" w14:textId="77777777" w:rsidR="009109AA" w:rsidRDefault="009109AA">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79A0" w14:textId="77777777" w:rsidR="00B34815" w:rsidRPr="00F32D0E" w:rsidRDefault="007213CB">
    <w:pPr>
      <w:pBdr>
        <w:top w:val="nil"/>
        <w:left w:val="nil"/>
        <w:bottom w:val="nil"/>
        <w:right w:val="nil"/>
        <w:between w:val="nil"/>
      </w:pBdr>
      <w:spacing w:after="0" w:line="240" w:lineRule="auto"/>
      <w:ind w:left="1" w:hanging="3"/>
      <w:jc w:val="center"/>
      <w:rPr>
        <w:rFonts w:asciiTheme="majorHAnsi" w:eastAsia="Times New Roman" w:hAnsiTheme="majorHAnsi" w:cstheme="majorHAnsi"/>
        <w:color w:val="000000"/>
        <w:sz w:val="28"/>
        <w:szCs w:val="28"/>
      </w:rPr>
    </w:pPr>
    <w:r w:rsidRPr="00F32D0E">
      <w:rPr>
        <w:rFonts w:asciiTheme="majorHAnsi" w:eastAsia="Times New Roman" w:hAnsiTheme="majorHAnsi" w:cstheme="majorHAnsi"/>
        <w:b/>
        <w:color w:val="000000"/>
        <w:sz w:val="28"/>
        <w:szCs w:val="28"/>
      </w:rPr>
      <w:t xml:space="preserve">APPENDIX C: </w:t>
    </w:r>
    <w:r w:rsidRPr="00F32D0E">
      <w:rPr>
        <w:rFonts w:asciiTheme="majorHAnsi" w:eastAsia="Times New Roman" w:hAnsiTheme="majorHAnsi" w:cstheme="majorHAnsi"/>
        <w:b/>
        <w:sz w:val="28"/>
        <w:szCs w:val="28"/>
      </w:rPr>
      <w:t>Agencies</w:t>
    </w:r>
    <w:r w:rsidRPr="00F32D0E">
      <w:rPr>
        <w:rFonts w:asciiTheme="majorHAnsi" w:eastAsia="Times New Roman" w:hAnsiTheme="majorHAnsi" w:cstheme="majorHAnsi"/>
        <w:b/>
        <w:color w:val="000000"/>
        <w:sz w:val="28"/>
        <w:szCs w:val="28"/>
      </w:rPr>
      <w:t xml:space="preserve"> </w:t>
    </w:r>
    <w:r w:rsidRPr="00F32D0E">
      <w:rPr>
        <w:rFonts w:asciiTheme="majorHAnsi" w:eastAsia="Times New Roman" w:hAnsiTheme="majorHAnsi" w:cstheme="majorHAnsi"/>
        <w:b/>
        <w:sz w:val="28"/>
        <w:szCs w:val="28"/>
      </w:rPr>
      <w:t xml:space="preserve">That Processed </w:t>
    </w:r>
    <w:r w:rsidRPr="00F32D0E">
      <w:rPr>
        <w:rFonts w:asciiTheme="majorHAnsi" w:eastAsia="Times New Roman" w:hAnsiTheme="majorHAnsi" w:cstheme="majorHAnsi"/>
        <w:b/>
        <w:color w:val="000000"/>
        <w:sz w:val="28"/>
        <w:szCs w:val="28"/>
      </w:rPr>
      <w:t>Permit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06B"/>
    <w:multiLevelType w:val="multilevel"/>
    <w:tmpl w:val="255465B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54B2D60"/>
    <w:multiLevelType w:val="multilevel"/>
    <w:tmpl w:val="04CC7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687D5A"/>
    <w:multiLevelType w:val="multilevel"/>
    <w:tmpl w:val="82A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73F85"/>
    <w:multiLevelType w:val="multilevel"/>
    <w:tmpl w:val="02EA4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3D1A32"/>
    <w:multiLevelType w:val="multilevel"/>
    <w:tmpl w:val="32F65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7F789C"/>
    <w:multiLevelType w:val="multilevel"/>
    <w:tmpl w:val="B4026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1691D1B"/>
    <w:multiLevelType w:val="hybridMultilevel"/>
    <w:tmpl w:val="8CE6C4A6"/>
    <w:lvl w:ilvl="0" w:tplc="9FB4255C">
      <w:numFmt w:val="bullet"/>
      <w:lvlText w:val="—"/>
      <w:lvlJc w:val="left"/>
      <w:pPr>
        <w:ind w:left="720" w:hanging="360"/>
      </w:pPr>
      <w:rPr>
        <w:rFonts w:ascii="Calibri" w:eastAsia="Cambria"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8345F"/>
    <w:multiLevelType w:val="multilevel"/>
    <w:tmpl w:val="A9522C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C0C2B9E"/>
    <w:multiLevelType w:val="multilevel"/>
    <w:tmpl w:val="2EAE28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i w:val="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8C37F99"/>
    <w:multiLevelType w:val="multilevel"/>
    <w:tmpl w:val="BCB064E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2DC2892"/>
    <w:multiLevelType w:val="multilevel"/>
    <w:tmpl w:val="2B80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9046170">
    <w:abstractNumId w:val="0"/>
  </w:num>
  <w:num w:numId="2" w16cid:durableId="726951922">
    <w:abstractNumId w:val="1"/>
  </w:num>
  <w:num w:numId="3" w16cid:durableId="627051206">
    <w:abstractNumId w:val="10"/>
  </w:num>
  <w:num w:numId="4" w16cid:durableId="192039474">
    <w:abstractNumId w:val="9"/>
  </w:num>
  <w:num w:numId="5" w16cid:durableId="829713224">
    <w:abstractNumId w:val="8"/>
  </w:num>
  <w:num w:numId="6" w16cid:durableId="1442803110">
    <w:abstractNumId w:val="7"/>
  </w:num>
  <w:num w:numId="7" w16cid:durableId="1682389841">
    <w:abstractNumId w:val="3"/>
  </w:num>
  <w:num w:numId="8" w16cid:durableId="898521182">
    <w:abstractNumId w:val="6"/>
  </w:num>
  <w:num w:numId="9" w16cid:durableId="555749949">
    <w:abstractNumId w:val="5"/>
  </w:num>
  <w:num w:numId="10" w16cid:durableId="983126013">
    <w:abstractNumId w:val="4"/>
  </w:num>
  <w:num w:numId="11" w16cid:durableId="3165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8sA2DuADcnBCQU4E2L29xSfTYyn7wvvIbmBRnEeU2Q26tXrcW+4OWtunnF9Bfrh1zsX0k0fMs0/1Rt8+FielJg==" w:salt="vy5DsSihFtisd9sYoRbj3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15"/>
    <w:rsid w:val="00005033"/>
    <w:rsid w:val="00011579"/>
    <w:rsid w:val="00011AD8"/>
    <w:rsid w:val="00021607"/>
    <w:rsid w:val="00024FEB"/>
    <w:rsid w:val="000407FE"/>
    <w:rsid w:val="00041B3A"/>
    <w:rsid w:val="00046F7E"/>
    <w:rsid w:val="00053F3F"/>
    <w:rsid w:val="0006301B"/>
    <w:rsid w:val="00065959"/>
    <w:rsid w:val="000775D6"/>
    <w:rsid w:val="00082568"/>
    <w:rsid w:val="00083580"/>
    <w:rsid w:val="00092FB2"/>
    <w:rsid w:val="00094A5E"/>
    <w:rsid w:val="000A0B05"/>
    <w:rsid w:val="000B0296"/>
    <w:rsid w:val="000C2BB4"/>
    <w:rsid w:val="00101A90"/>
    <w:rsid w:val="00102625"/>
    <w:rsid w:val="00106CFA"/>
    <w:rsid w:val="001151C7"/>
    <w:rsid w:val="00127803"/>
    <w:rsid w:val="0013047D"/>
    <w:rsid w:val="0013051C"/>
    <w:rsid w:val="00130AA5"/>
    <w:rsid w:val="001476F2"/>
    <w:rsid w:val="00156D92"/>
    <w:rsid w:val="001571FE"/>
    <w:rsid w:val="001603EB"/>
    <w:rsid w:val="00163923"/>
    <w:rsid w:val="00170791"/>
    <w:rsid w:val="0018154F"/>
    <w:rsid w:val="0019197A"/>
    <w:rsid w:val="001A01C7"/>
    <w:rsid w:val="001A0A7E"/>
    <w:rsid w:val="001A172B"/>
    <w:rsid w:val="001B3C19"/>
    <w:rsid w:val="001B4391"/>
    <w:rsid w:val="001B6276"/>
    <w:rsid w:val="001C002B"/>
    <w:rsid w:val="001C0193"/>
    <w:rsid w:val="001C177E"/>
    <w:rsid w:val="001C5A07"/>
    <w:rsid w:val="001D06BC"/>
    <w:rsid w:val="001D34FE"/>
    <w:rsid w:val="001F3303"/>
    <w:rsid w:val="001F71D4"/>
    <w:rsid w:val="002210DE"/>
    <w:rsid w:val="00225593"/>
    <w:rsid w:val="00226B14"/>
    <w:rsid w:val="002330F3"/>
    <w:rsid w:val="0023607C"/>
    <w:rsid w:val="002530AB"/>
    <w:rsid w:val="0027397C"/>
    <w:rsid w:val="00273FA1"/>
    <w:rsid w:val="00276855"/>
    <w:rsid w:val="0027735F"/>
    <w:rsid w:val="00281586"/>
    <w:rsid w:val="0028658A"/>
    <w:rsid w:val="002866EA"/>
    <w:rsid w:val="002A017D"/>
    <w:rsid w:val="002B0CFC"/>
    <w:rsid w:val="002B0D01"/>
    <w:rsid w:val="002C4617"/>
    <w:rsid w:val="002C5734"/>
    <w:rsid w:val="002D2AE8"/>
    <w:rsid w:val="002D5B06"/>
    <w:rsid w:val="002E39CF"/>
    <w:rsid w:val="002E3EAE"/>
    <w:rsid w:val="002E6B9C"/>
    <w:rsid w:val="002F4DC2"/>
    <w:rsid w:val="00304A03"/>
    <w:rsid w:val="00310BF2"/>
    <w:rsid w:val="003212D5"/>
    <w:rsid w:val="003309D5"/>
    <w:rsid w:val="00333C0A"/>
    <w:rsid w:val="00333F28"/>
    <w:rsid w:val="00336863"/>
    <w:rsid w:val="0034372F"/>
    <w:rsid w:val="00346D79"/>
    <w:rsid w:val="003536B0"/>
    <w:rsid w:val="00367173"/>
    <w:rsid w:val="00367FE8"/>
    <w:rsid w:val="00380431"/>
    <w:rsid w:val="003A3503"/>
    <w:rsid w:val="003A58AD"/>
    <w:rsid w:val="003A652E"/>
    <w:rsid w:val="003B4331"/>
    <w:rsid w:val="003B6B1D"/>
    <w:rsid w:val="003F4314"/>
    <w:rsid w:val="003F58EE"/>
    <w:rsid w:val="00412BEE"/>
    <w:rsid w:val="0042148D"/>
    <w:rsid w:val="00422DB2"/>
    <w:rsid w:val="0043069E"/>
    <w:rsid w:val="004323E0"/>
    <w:rsid w:val="00433384"/>
    <w:rsid w:val="004446EC"/>
    <w:rsid w:val="00454BA2"/>
    <w:rsid w:val="00462582"/>
    <w:rsid w:val="00462AF2"/>
    <w:rsid w:val="00470911"/>
    <w:rsid w:val="00471282"/>
    <w:rsid w:val="004729E5"/>
    <w:rsid w:val="00481AB5"/>
    <w:rsid w:val="00491245"/>
    <w:rsid w:val="00497A98"/>
    <w:rsid w:val="004A18B4"/>
    <w:rsid w:val="004A2C59"/>
    <w:rsid w:val="004A3EC1"/>
    <w:rsid w:val="004A5CD5"/>
    <w:rsid w:val="004D54DB"/>
    <w:rsid w:val="004E74BC"/>
    <w:rsid w:val="004F1E78"/>
    <w:rsid w:val="00501F4F"/>
    <w:rsid w:val="00503D23"/>
    <w:rsid w:val="00511A56"/>
    <w:rsid w:val="00520613"/>
    <w:rsid w:val="00524AFD"/>
    <w:rsid w:val="00527D63"/>
    <w:rsid w:val="0053142E"/>
    <w:rsid w:val="00532D9A"/>
    <w:rsid w:val="0054082A"/>
    <w:rsid w:val="00547A52"/>
    <w:rsid w:val="00553746"/>
    <w:rsid w:val="00575F92"/>
    <w:rsid w:val="00577BA5"/>
    <w:rsid w:val="00586ABD"/>
    <w:rsid w:val="00587F4F"/>
    <w:rsid w:val="00590C5D"/>
    <w:rsid w:val="0059695A"/>
    <w:rsid w:val="005B32D6"/>
    <w:rsid w:val="005C3931"/>
    <w:rsid w:val="005C6F4B"/>
    <w:rsid w:val="005F109C"/>
    <w:rsid w:val="005F4260"/>
    <w:rsid w:val="005F5A3E"/>
    <w:rsid w:val="006023D4"/>
    <w:rsid w:val="00603489"/>
    <w:rsid w:val="00604792"/>
    <w:rsid w:val="00605857"/>
    <w:rsid w:val="006154FA"/>
    <w:rsid w:val="00615680"/>
    <w:rsid w:val="00616177"/>
    <w:rsid w:val="00623AC7"/>
    <w:rsid w:val="0066074C"/>
    <w:rsid w:val="00665CE0"/>
    <w:rsid w:val="006665D3"/>
    <w:rsid w:val="00694CD9"/>
    <w:rsid w:val="006C19DA"/>
    <w:rsid w:val="006C3104"/>
    <w:rsid w:val="006C49DC"/>
    <w:rsid w:val="006E3108"/>
    <w:rsid w:val="006F6325"/>
    <w:rsid w:val="0070611F"/>
    <w:rsid w:val="00707E30"/>
    <w:rsid w:val="00717037"/>
    <w:rsid w:val="007213CB"/>
    <w:rsid w:val="00722BFB"/>
    <w:rsid w:val="00730646"/>
    <w:rsid w:val="0073205E"/>
    <w:rsid w:val="0073356E"/>
    <w:rsid w:val="007354D9"/>
    <w:rsid w:val="007371D2"/>
    <w:rsid w:val="0074513C"/>
    <w:rsid w:val="00757574"/>
    <w:rsid w:val="00757E91"/>
    <w:rsid w:val="00763B79"/>
    <w:rsid w:val="007723EA"/>
    <w:rsid w:val="007768D0"/>
    <w:rsid w:val="00792199"/>
    <w:rsid w:val="007A1EFB"/>
    <w:rsid w:val="007C27CA"/>
    <w:rsid w:val="007D05A5"/>
    <w:rsid w:val="007E04EE"/>
    <w:rsid w:val="007E616A"/>
    <w:rsid w:val="00800640"/>
    <w:rsid w:val="00813A69"/>
    <w:rsid w:val="0081459B"/>
    <w:rsid w:val="00820697"/>
    <w:rsid w:val="008312B9"/>
    <w:rsid w:val="00836108"/>
    <w:rsid w:val="00842524"/>
    <w:rsid w:val="00845A34"/>
    <w:rsid w:val="00851662"/>
    <w:rsid w:val="00863044"/>
    <w:rsid w:val="00865CC3"/>
    <w:rsid w:val="00892DBB"/>
    <w:rsid w:val="008934DB"/>
    <w:rsid w:val="00894913"/>
    <w:rsid w:val="00894C79"/>
    <w:rsid w:val="008A1210"/>
    <w:rsid w:val="008B14B0"/>
    <w:rsid w:val="008C0BFB"/>
    <w:rsid w:val="008C3C84"/>
    <w:rsid w:val="00907F34"/>
    <w:rsid w:val="009109AA"/>
    <w:rsid w:val="00913810"/>
    <w:rsid w:val="00915BCD"/>
    <w:rsid w:val="0091739B"/>
    <w:rsid w:val="009249F1"/>
    <w:rsid w:val="00942BA3"/>
    <w:rsid w:val="00943FB2"/>
    <w:rsid w:val="00962ED7"/>
    <w:rsid w:val="00970987"/>
    <w:rsid w:val="00985B19"/>
    <w:rsid w:val="00991D04"/>
    <w:rsid w:val="009A1772"/>
    <w:rsid w:val="009C0037"/>
    <w:rsid w:val="009C1BAC"/>
    <w:rsid w:val="009C4177"/>
    <w:rsid w:val="009C79C3"/>
    <w:rsid w:val="009D1880"/>
    <w:rsid w:val="009E21CC"/>
    <w:rsid w:val="009E758A"/>
    <w:rsid w:val="009E7A27"/>
    <w:rsid w:val="009F4BFA"/>
    <w:rsid w:val="009F4E0C"/>
    <w:rsid w:val="009F7F5C"/>
    <w:rsid w:val="00A0217A"/>
    <w:rsid w:val="00A10498"/>
    <w:rsid w:val="00A16514"/>
    <w:rsid w:val="00A2796C"/>
    <w:rsid w:val="00A34C38"/>
    <w:rsid w:val="00A402CC"/>
    <w:rsid w:val="00A41F82"/>
    <w:rsid w:val="00A4712F"/>
    <w:rsid w:val="00A83AC8"/>
    <w:rsid w:val="00A847BE"/>
    <w:rsid w:val="00A87658"/>
    <w:rsid w:val="00A90CF3"/>
    <w:rsid w:val="00AA2708"/>
    <w:rsid w:val="00AA43E8"/>
    <w:rsid w:val="00AB4662"/>
    <w:rsid w:val="00B06D77"/>
    <w:rsid w:val="00B1013D"/>
    <w:rsid w:val="00B32D5F"/>
    <w:rsid w:val="00B34815"/>
    <w:rsid w:val="00B53305"/>
    <w:rsid w:val="00B6615F"/>
    <w:rsid w:val="00B67062"/>
    <w:rsid w:val="00B70028"/>
    <w:rsid w:val="00B76E1D"/>
    <w:rsid w:val="00BA0A25"/>
    <w:rsid w:val="00BA3F08"/>
    <w:rsid w:val="00BB3615"/>
    <w:rsid w:val="00BB4D77"/>
    <w:rsid w:val="00BC60C1"/>
    <w:rsid w:val="00BE7300"/>
    <w:rsid w:val="00BF1D10"/>
    <w:rsid w:val="00BF5A25"/>
    <w:rsid w:val="00C0381F"/>
    <w:rsid w:val="00C21F9C"/>
    <w:rsid w:val="00C22E38"/>
    <w:rsid w:val="00C22FC1"/>
    <w:rsid w:val="00C40B68"/>
    <w:rsid w:val="00C66F6F"/>
    <w:rsid w:val="00C824BD"/>
    <w:rsid w:val="00C83F2B"/>
    <w:rsid w:val="00C92C01"/>
    <w:rsid w:val="00C933D0"/>
    <w:rsid w:val="00CA0EBF"/>
    <w:rsid w:val="00CA7208"/>
    <w:rsid w:val="00CB6D85"/>
    <w:rsid w:val="00CD449F"/>
    <w:rsid w:val="00CE0B19"/>
    <w:rsid w:val="00CE2CFC"/>
    <w:rsid w:val="00CF01EC"/>
    <w:rsid w:val="00CF744C"/>
    <w:rsid w:val="00D22451"/>
    <w:rsid w:val="00D23C55"/>
    <w:rsid w:val="00D3702F"/>
    <w:rsid w:val="00D37B32"/>
    <w:rsid w:val="00D4500C"/>
    <w:rsid w:val="00D552CE"/>
    <w:rsid w:val="00D5569C"/>
    <w:rsid w:val="00D7109E"/>
    <w:rsid w:val="00DB4469"/>
    <w:rsid w:val="00DD6E5C"/>
    <w:rsid w:val="00DF0A64"/>
    <w:rsid w:val="00E068E9"/>
    <w:rsid w:val="00E12DA3"/>
    <w:rsid w:val="00E16350"/>
    <w:rsid w:val="00E1792C"/>
    <w:rsid w:val="00E32826"/>
    <w:rsid w:val="00E33534"/>
    <w:rsid w:val="00E356C0"/>
    <w:rsid w:val="00E37F1A"/>
    <w:rsid w:val="00E467B7"/>
    <w:rsid w:val="00E511AB"/>
    <w:rsid w:val="00E57319"/>
    <w:rsid w:val="00E626CF"/>
    <w:rsid w:val="00E62885"/>
    <w:rsid w:val="00E62A9E"/>
    <w:rsid w:val="00E82646"/>
    <w:rsid w:val="00E82B9F"/>
    <w:rsid w:val="00E8395C"/>
    <w:rsid w:val="00E922A9"/>
    <w:rsid w:val="00EA75FF"/>
    <w:rsid w:val="00EB7BD4"/>
    <w:rsid w:val="00EC0388"/>
    <w:rsid w:val="00EC1974"/>
    <w:rsid w:val="00EC471F"/>
    <w:rsid w:val="00ED3CBB"/>
    <w:rsid w:val="00EF27EF"/>
    <w:rsid w:val="00EF603E"/>
    <w:rsid w:val="00F023BA"/>
    <w:rsid w:val="00F05602"/>
    <w:rsid w:val="00F25D89"/>
    <w:rsid w:val="00F3112C"/>
    <w:rsid w:val="00F317A5"/>
    <w:rsid w:val="00F32D0E"/>
    <w:rsid w:val="00F52E89"/>
    <w:rsid w:val="00F63D4A"/>
    <w:rsid w:val="00F6586C"/>
    <w:rsid w:val="00F677C9"/>
    <w:rsid w:val="00F751EB"/>
    <w:rsid w:val="00F754D6"/>
    <w:rsid w:val="00F75889"/>
    <w:rsid w:val="00F81D38"/>
    <w:rsid w:val="00F849E7"/>
    <w:rsid w:val="00F85A88"/>
    <w:rsid w:val="00F908A7"/>
    <w:rsid w:val="00F95BC0"/>
    <w:rsid w:val="00FA59D8"/>
    <w:rsid w:val="00FB309C"/>
    <w:rsid w:val="00FB4291"/>
    <w:rsid w:val="00FC5534"/>
    <w:rsid w:val="00FD0B3B"/>
    <w:rsid w:val="00FD6B91"/>
    <w:rsid w:val="00FE0F72"/>
    <w:rsid w:val="00FE3CA0"/>
    <w:rsid w:val="00FE4B79"/>
    <w:rsid w:val="00FE5E66"/>
    <w:rsid w:val="00FE6D8F"/>
    <w:rsid w:val="00FE78BC"/>
    <w:rsid w:val="00FF05D4"/>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07A9"/>
  <w15:docId w15:val="{154D0673-405E-424C-AC3A-9885C77B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ind w:hanging="720"/>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ListTable5Dark-Accent1">
    <w:name w:val="List Table 5 Dark Accent 1"/>
    <w:basedOn w:val="TableNormal"/>
    <w:uiPriority w:val="50"/>
    <w:rsid w:val="00707E3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1B62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B62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B62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Grid">
    <w:name w:val="Table Grid"/>
    <w:basedOn w:val="TableNormal"/>
    <w:uiPriority w:val="39"/>
    <w:rsid w:val="001B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D77"/>
    <w:pPr>
      <w:ind w:left="720"/>
      <w:contextualSpacing/>
    </w:pPr>
  </w:style>
  <w:style w:type="paragraph" w:styleId="Revision">
    <w:name w:val="Revision"/>
    <w:hidden/>
    <w:uiPriority w:val="99"/>
    <w:semiHidden/>
    <w:rsid w:val="0019197A"/>
    <w:pPr>
      <w:spacing w:after="0" w:line="240" w:lineRule="auto"/>
      <w:ind w:left="0" w:firstLine="0"/>
    </w:pPr>
  </w:style>
  <w:style w:type="paragraph" w:styleId="Caption">
    <w:name w:val="caption"/>
    <w:basedOn w:val="Normal"/>
    <w:next w:val="Normal"/>
    <w:uiPriority w:val="35"/>
    <w:unhideWhenUsed/>
    <w:qFormat/>
    <w:rsid w:val="001571FE"/>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813A69"/>
    <w:rPr>
      <w:sz w:val="16"/>
      <w:szCs w:val="16"/>
    </w:rPr>
  </w:style>
  <w:style w:type="paragraph" w:styleId="CommentText">
    <w:name w:val="annotation text"/>
    <w:basedOn w:val="Normal"/>
    <w:link w:val="CommentTextChar"/>
    <w:uiPriority w:val="99"/>
    <w:unhideWhenUsed/>
    <w:rsid w:val="00813A69"/>
    <w:pPr>
      <w:spacing w:line="240" w:lineRule="auto"/>
    </w:pPr>
    <w:rPr>
      <w:sz w:val="20"/>
      <w:szCs w:val="20"/>
    </w:rPr>
  </w:style>
  <w:style w:type="character" w:customStyle="1" w:styleId="CommentTextChar">
    <w:name w:val="Comment Text Char"/>
    <w:basedOn w:val="DefaultParagraphFont"/>
    <w:link w:val="CommentText"/>
    <w:uiPriority w:val="99"/>
    <w:rsid w:val="00813A69"/>
    <w:rPr>
      <w:sz w:val="20"/>
      <w:szCs w:val="20"/>
    </w:rPr>
  </w:style>
  <w:style w:type="paragraph" w:styleId="CommentSubject">
    <w:name w:val="annotation subject"/>
    <w:basedOn w:val="CommentText"/>
    <w:next w:val="CommentText"/>
    <w:link w:val="CommentSubjectChar"/>
    <w:uiPriority w:val="99"/>
    <w:semiHidden/>
    <w:unhideWhenUsed/>
    <w:rsid w:val="00813A69"/>
    <w:rPr>
      <w:b/>
      <w:bCs/>
    </w:rPr>
  </w:style>
  <w:style w:type="character" w:customStyle="1" w:styleId="CommentSubjectChar">
    <w:name w:val="Comment Subject Char"/>
    <w:basedOn w:val="CommentTextChar"/>
    <w:link w:val="CommentSubject"/>
    <w:uiPriority w:val="99"/>
    <w:semiHidden/>
    <w:rsid w:val="00813A69"/>
    <w:rPr>
      <w:b/>
      <w:bCs/>
      <w:sz w:val="20"/>
      <w:szCs w:val="20"/>
    </w:rPr>
  </w:style>
  <w:style w:type="paragraph" w:styleId="Header">
    <w:name w:val="header"/>
    <w:basedOn w:val="Normal"/>
    <w:link w:val="HeaderChar"/>
    <w:uiPriority w:val="99"/>
    <w:unhideWhenUsed/>
    <w:rsid w:val="0091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9AA"/>
  </w:style>
  <w:style w:type="paragraph" w:styleId="NormalWeb">
    <w:name w:val="Normal (Web)"/>
    <w:basedOn w:val="Normal"/>
    <w:uiPriority w:val="99"/>
    <w:semiHidden/>
    <w:unhideWhenUsed/>
    <w:rsid w:val="00471282"/>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5641">
      <w:bodyDiv w:val="1"/>
      <w:marLeft w:val="0"/>
      <w:marRight w:val="0"/>
      <w:marTop w:val="0"/>
      <w:marBottom w:val="0"/>
      <w:divBdr>
        <w:top w:val="none" w:sz="0" w:space="0" w:color="auto"/>
        <w:left w:val="none" w:sz="0" w:space="0" w:color="auto"/>
        <w:bottom w:val="none" w:sz="0" w:space="0" w:color="auto"/>
        <w:right w:val="none" w:sz="0" w:space="0" w:color="auto"/>
      </w:divBdr>
    </w:div>
    <w:div w:id="1313757210">
      <w:bodyDiv w:val="1"/>
      <w:marLeft w:val="0"/>
      <w:marRight w:val="0"/>
      <w:marTop w:val="0"/>
      <w:marBottom w:val="0"/>
      <w:divBdr>
        <w:top w:val="none" w:sz="0" w:space="0" w:color="auto"/>
        <w:left w:val="none" w:sz="0" w:space="0" w:color="auto"/>
        <w:bottom w:val="none" w:sz="0" w:space="0" w:color="auto"/>
        <w:right w:val="none" w:sz="0" w:space="0" w:color="auto"/>
      </w:divBdr>
    </w:div>
    <w:div w:id="2125221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100"/>
              <a:t>F</a:t>
            </a:r>
            <a:r>
              <a:rPr lang="en-US" sz="1100" cap="none"/>
              <a:t>igure</a:t>
            </a:r>
            <a:r>
              <a:rPr lang="en-US" sz="1100"/>
              <a:t> 1:</a:t>
            </a:r>
            <a:r>
              <a:rPr lang="en-US" sz="1100" baseline="0"/>
              <a:t> </a:t>
            </a:r>
            <a:r>
              <a:rPr lang="en-US" sz="1100"/>
              <a:t>N</a:t>
            </a:r>
            <a:r>
              <a:rPr lang="en-US" sz="1100" cap="none"/>
              <a:t>umber</a:t>
            </a:r>
            <a:r>
              <a:rPr lang="en-US" sz="1100"/>
              <a:t> </a:t>
            </a:r>
            <a:r>
              <a:rPr lang="en-US" sz="1100" cap="none"/>
              <a:t>of</a:t>
            </a:r>
            <a:r>
              <a:rPr lang="en-US" sz="1100"/>
              <a:t> a</a:t>
            </a:r>
            <a:r>
              <a:rPr lang="en-US" sz="1100" cap="none"/>
              <a:t>pplications</a:t>
            </a:r>
            <a:r>
              <a:rPr lang="en-US" sz="1100"/>
              <a:t> r</a:t>
            </a:r>
            <a:r>
              <a:rPr lang="en-US" sz="1100" cap="none"/>
              <a:t>eceived</a:t>
            </a:r>
            <a:r>
              <a:rPr lang="en-US" sz="1100" cap="none" baseline="0"/>
              <a:t> Per Quarter</a:t>
            </a:r>
            <a:endParaRPr lang="en-US" sz="11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Number of Applications Received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Q1 FY 22</c:v>
                </c:pt>
                <c:pt idx="1">
                  <c:v>Q2 FY 22</c:v>
                </c:pt>
                <c:pt idx="2">
                  <c:v>Q3 FY 22</c:v>
                </c:pt>
                <c:pt idx="3">
                  <c:v>Q4 FY 22</c:v>
                </c:pt>
              </c:strCache>
            </c:strRef>
          </c:cat>
          <c:val>
            <c:numRef>
              <c:f>Sheet1!$B$2:$B$5</c:f>
              <c:numCache>
                <c:formatCode>General</c:formatCode>
                <c:ptCount val="4"/>
                <c:pt idx="0">
                  <c:v>134</c:v>
                </c:pt>
                <c:pt idx="1">
                  <c:v>200</c:v>
                </c:pt>
                <c:pt idx="2">
                  <c:v>154</c:v>
                </c:pt>
                <c:pt idx="3">
                  <c:v>262</c:v>
                </c:pt>
              </c:numCache>
            </c:numRef>
          </c:val>
          <c:smooth val="0"/>
          <c:extLst>
            <c:ext xmlns:c16="http://schemas.microsoft.com/office/drawing/2014/chart" uri="{C3380CC4-5D6E-409C-BE32-E72D297353CC}">
              <c16:uniqueId val="{00000000-7124-4D84-8B84-934727C2F104}"/>
            </c:ext>
          </c:extLst>
        </c:ser>
        <c:dLbls>
          <c:showLegendKey val="0"/>
          <c:showVal val="0"/>
          <c:showCatName val="0"/>
          <c:showSerName val="0"/>
          <c:showPercent val="0"/>
          <c:showBubbleSize val="0"/>
        </c:dLbls>
        <c:marker val="1"/>
        <c:smooth val="0"/>
        <c:axId val="1976824176"/>
        <c:axId val="1976814608"/>
      </c:lineChart>
      <c:catAx>
        <c:axId val="1976824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976814608"/>
        <c:crosses val="autoZero"/>
        <c:auto val="1"/>
        <c:lblAlgn val="ctr"/>
        <c:lblOffset val="100"/>
        <c:noMultiLvlLbl val="0"/>
      </c:catAx>
      <c:valAx>
        <c:axId val="197681460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824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Figure 2: Number of Applications Approved versus Average Number of Days Applications Pending Prior to Approval</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applications approved </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dLbl>
              <c:idx val="3"/>
              <c:layout>
                <c:manualLayout>
                  <c:x val="4.6296296296296294E-3"/>
                  <c:y val="4.28327645051194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18-4873-872E-F16AD7FCC1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Q1 FY 22</c:v>
                </c:pt>
                <c:pt idx="1">
                  <c:v> Q2 FY22</c:v>
                </c:pt>
                <c:pt idx="2">
                  <c:v> Q3 FY22</c:v>
                </c:pt>
                <c:pt idx="3">
                  <c:v>Q4 FY22</c:v>
                </c:pt>
              </c:strCache>
            </c:strRef>
          </c:cat>
          <c:val>
            <c:numRef>
              <c:f>Sheet1!$B$2:$B$5</c:f>
              <c:numCache>
                <c:formatCode>General</c:formatCode>
                <c:ptCount val="4"/>
                <c:pt idx="0">
                  <c:v>156</c:v>
                </c:pt>
                <c:pt idx="1">
                  <c:v>200</c:v>
                </c:pt>
                <c:pt idx="2">
                  <c:v>108</c:v>
                </c:pt>
                <c:pt idx="3">
                  <c:v>165</c:v>
                </c:pt>
              </c:numCache>
            </c:numRef>
          </c:val>
          <c:extLst>
            <c:ext xmlns:c16="http://schemas.microsoft.com/office/drawing/2014/chart" uri="{C3380CC4-5D6E-409C-BE32-E72D297353CC}">
              <c16:uniqueId val="{00000000-DFB0-4F70-9154-036A16D94334}"/>
            </c:ext>
          </c:extLst>
        </c:ser>
        <c:dLbls>
          <c:showLegendKey val="0"/>
          <c:showVal val="0"/>
          <c:showCatName val="0"/>
          <c:showSerName val="0"/>
          <c:showPercent val="0"/>
          <c:showBubbleSize val="0"/>
        </c:dLbls>
        <c:gapWidth val="219"/>
        <c:overlap val="-27"/>
        <c:axId val="1772715184"/>
        <c:axId val="1772715600"/>
      </c:barChart>
      <c:lineChart>
        <c:grouping val="standard"/>
        <c:varyColors val="0"/>
        <c:ser>
          <c:idx val="1"/>
          <c:order val="1"/>
          <c:tx>
            <c:strRef>
              <c:f>Sheet1!$C$1</c:f>
              <c:strCache>
                <c:ptCount val="1"/>
                <c:pt idx="0">
                  <c:v>Average # of days application pending before approval</c:v>
                </c:pt>
              </c:strCache>
            </c:strRef>
          </c:tx>
          <c:spPr>
            <a:ln w="31750" cap="rnd">
              <a:solidFill>
                <a:srgbClr val="00B050"/>
              </a:solidFill>
              <a:round/>
            </a:ln>
            <a:effectLst>
              <a:outerShdw blurRad="40000" dist="23000" dir="5400000" rotWithShape="0">
                <a:srgbClr val="000000">
                  <a:alpha val="35000"/>
                </a:srgbClr>
              </a:outerShdw>
            </a:effectLst>
          </c:spPr>
          <c:marker>
            <c:symbol val="circle"/>
            <c:size val="6"/>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dLbl>
              <c:idx val="3"/>
              <c:layout>
                <c:manualLayout>
                  <c:x val="-1.8507035578885979E-2"/>
                  <c:y val="-1.6296928327645049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r>
                      <a:rPr lang="en-US"/>
                      <a:t>233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7.4050925925925909E-2"/>
                      <c:h val="8.0375426621160401E-2"/>
                    </c:manualLayout>
                  </c15:layout>
                  <c15:showDataLabelsRange val="0"/>
                </c:ext>
                <c:ext xmlns:c16="http://schemas.microsoft.com/office/drawing/2014/chart" uri="{C3380CC4-5D6E-409C-BE32-E72D297353CC}">
                  <c16:uniqueId val="{00000002-A0BA-4412-B678-C3D97636EB5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Q1 FY 22</c:v>
                </c:pt>
                <c:pt idx="1">
                  <c:v> Q2 FY22</c:v>
                </c:pt>
                <c:pt idx="2">
                  <c:v> Q3 FY22</c:v>
                </c:pt>
                <c:pt idx="3">
                  <c:v>Q4 FY22</c:v>
                </c:pt>
              </c:strCache>
            </c:strRef>
          </c:cat>
          <c:val>
            <c:numRef>
              <c:f>Sheet1!$C$2:$C$5</c:f>
              <c:numCache>
                <c:formatCode>General</c:formatCode>
                <c:ptCount val="4"/>
                <c:pt idx="0">
                  <c:v>213</c:v>
                </c:pt>
                <c:pt idx="1">
                  <c:v>231</c:v>
                </c:pt>
                <c:pt idx="2">
                  <c:v>188</c:v>
                </c:pt>
                <c:pt idx="3">
                  <c:v>233</c:v>
                </c:pt>
              </c:numCache>
            </c:numRef>
          </c:val>
          <c:smooth val="0"/>
          <c:extLst>
            <c:ext xmlns:c16="http://schemas.microsoft.com/office/drawing/2014/chart" uri="{C3380CC4-5D6E-409C-BE32-E72D297353CC}">
              <c16:uniqueId val="{00000001-DFB0-4F70-9154-036A16D94334}"/>
            </c:ext>
          </c:extLst>
        </c:ser>
        <c:ser>
          <c:idx val="2"/>
          <c:order val="2"/>
          <c:tx>
            <c:strRef>
              <c:f>Sheet1!$D$1</c:f>
              <c:strCache>
                <c:ptCount val="1"/>
                <c:pt idx="0">
                  <c:v>270-day statutory requirement for processing applications for approval or rejection</c:v>
                </c:pt>
              </c:strCache>
            </c:strRef>
          </c:tx>
          <c:spPr>
            <a:ln w="31750" cap="rnd">
              <a:solidFill>
                <a:srgbClr val="FF0000"/>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Q1 FY 22</c:v>
                </c:pt>
                <c:pt idx="1">
                  <c:v> Q2 FY22</c:v>
                </c:pt>
                <c:pt idx="2">
                  <c:v> Q3 FY22</c:v>
                </c:pt>
                <c:pt idx="3">
                  <c:v>Q4 FY22</c:v>
                </c:pt>
              </c:strCache>
            </c:strRef>
          </c:cat>
          <c:val>
            <c:numRef>
              <c:f>Sheet1!$D$2:$D$5</c:f>
              <c:numCache>
                <c:formatCode>General</c:formatCode>
                <c:ptCount val="4"/>
                <c:pt idx="0">
                  <c:v>270</c:v>
                </c:pt>
                <c:pt idx="1">
                  <c:v>270</c:v>
                </c:pt>
                <c:pt idx="2">
                  <c:v>270</c:v>
                </c:pt>
                <c:pt idx="3">
                  <c:v>270</c:v>
                </c:pt>
              </c:numCache>
            </c:numRef>
          </c:val>
          <c:smooth val="0"/>
          <c:extLst>
            <c:ext xmlns:c16="http://schemas.microsoft.com/office/drawing/2014/chart" uri="{C3380CC4-5D6E-409C-BE32-E72D297353CC}">
              <c16:uniqueId val="{00000002-DFB0-4F70-9154-036A16D94334}"/>
            </c:ext>
          </c:extLst>
        </c:ser>
        <c:dLbls>
          <c:showLegendKey val="0"/>
          <c:showVal val="0"/>
          <c:showCatName val="0"/>
          <c:showSerName val="0"/>
          <c:showPercent val="0"/>
          <c:showBubbleSize val="0"/>
        </c:dLbls>
        <c:marker val="1"/>
        <c:smooth val="0"/>
        <c:axId val="1772715184"/>
        <c:axId val="1772715600"/>
      </c:lineChart>
      <c:catAx>
        <c:axId val="1772715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72715600"/>
        <c:crosses val="autoZero"/>
        <c:auto val="1"/>
        <c:lblAlgn val="ctr"/>
        <c:lblOffset val="100"/>
        <c:noMultiLvlLbl val="0"/>
      </c:catAx>
      <c:valAx>
        <c:axId val="17727156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7271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19AA-4C5C-469E-B27B-BFFFCF72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2708</Words>
  <Characters>15438</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MichaelARadney</dc:creator>
  <cp:keywords/>
  <dc:description/>
  <cp:lastModifiedBy>MichaelARadney</cp:lastModifiedBy>
  <cp:revision>49</cp:revision>
  <dcterms:created xsi:type="dcterms:W3CDTF">2022-10-07T21:39:00Z</dcterms:created>
  <dcterms:modified xsi:type="dcterms:W3CDTF">2023-01-12T18:47:00Z</dcterms:modified>
</cp:coreProperties>
</file>