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533C57E5" w14:textId="646809E9" w:rsidR="00251836" w:rsidRDefault="00251836" w:rsidP="00761EB2">
      <w:pPr>
        <w:spacing w:before="840" w:after="120" w:line="300" w:lineRule="exact"/>
        <w:jc w:val="center"/>
        <w:rPr>
          <w:b/>
          <w:color w:val="FFFFFF" w:themeColor="background1"/>
          <w:sz w:val="48"/>
          <w:szCs w:val="48"/>
        </w:rPr>
      </w:pPr>
      <w:r>
        <w:rPr>
          <w:b/>
          <w:noProof/>
          <w:color w:val="FFFFFF" w:themeColor="background1"/>
          <w:sz w:val="48"/>
          <w:szCs w:val="48"/>
        </w:rPr>
        <mc:AlternateContent>
          <mc:Choice Requires="wps">
            <w:drawing>
              <wp:anchor distT="0" distB="0" distL="114300" distR="114300" simplePos="0" relativeHeight="251680768" behindDoc="1" locked="0" layoutInCell="1" allowOverlap="1" wp14:anchorId="692CC5EE" wp14:editId="7C9CE12A">
                <wp:simplePos x="0" y="0"/>
                <wp:positionH relativeFrom="column">
                  <wp:posOffset>-723900</wp:posOffset>
                </wp:positionH>
                <wp:positionV relativeFrom="paragraph">
                  <wp:posOffset>-342900</wp:posOffset>
                </wp:positionV>
                <wp:extent cx="7795895" cy="1781175"/>
                <wp:effectExtent l="57150" t="19050" r="71755" b="104775"/>
                <wp:wrapNone/>
                <wp:docPr id="137681983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5895" cy="1781175"/>
                        </a:xfrm>
                        <a:prstGeom prst="rect">
                          <a:avLst/>
                        </a:prstGeom>
                        <a:solidFill>
                          <a:srgbClr val="224F78"/>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B02F08" id="Rectangle 2" o:spid="_x0000_s1026" alt="&quot;&quot;" style="position:absolute;margin-left:-57pt;margin-top:-27pt;width:613.85pt;height:140.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" fillcolor="#224f78" strokecolor="#3c6abe [3044]">
                <v:shadow on="t" color="black" opacity="22937f" origin=",.5" offset="0,.63889mm"/>
              </v:rect>
            </w:pict>
          </mc:Fallback>
        </mc:AlternateContent>
      </w:r>
      <w:r w:rsidR="00B43F26" w:rsidRPr="00B43F26">
        <w:rPr>
          <w:b/>
          <w:bCs/>
          <w:color w:val="FFFFFF" w:themeColor="background1"/>
          <w:sz w:val="56"/>
          <w:szCs w:val="56"/>
        </w:rPr>
        <w:t xml:space="preserve"> </w:t>
      </w:r>
      <w:r w:rsidR="00B43F26" w:rsidRPr="00B43F26">
        <w:rPr>
          <w:b/>
          <w:bCs/>
          <w:noProof/>
          <w:color w:val="FFFFFF" w:themeColor="background1"/>
          <w:sz w:val="48"/>
          <w:szCs w:val="48"/>
        </w:rPr>
        <w:t xml:space="preserve">Preparing Membership Balance Plans </w:t>
      </w:r>
    </w:p>
    <w:p w14:paraId="4D04C7FA" w14:textId="2567C62B" w:rsidR="00251836" w:rsidRPr="00EF46E6" w:rsidRDefault="00251836" w:rsidP="00761EB2">
      <w:pPr>
        <w:spacing w:before="240" w:after="240" w:line="300" w:lineRule="exact"/>
        <w:jc w:val="center"/>
        <w:rPr>
          <w:b/>
          <w:color w:val="E7E6E6" w:themeColor="background2"/>
          <w:sz w:val="40"/>
          <w:szCs w:val="40"/>
        </w:rPr>
      </w:pPr>
      <w:r w:rsidRPr="00EF46E6">
        <w:rPr>
          <w:b/>
          <w:color w:val="E7E6E6" w:themeColor="background2"/>
          <w:sz w:val="40"/>
          <w:szCs w:val="40"/>
        </w:rPr>
        <w:t>GSA Committee Management Secretariat Guidance</w:t>
      </w:r>
    </w:p>
    <w:p w14:paraId="00000003" w14:textId="192A2FDF" w:rsidR="00026B11" w:rsidRDefault="00761EB2">
      <w:pPr>
        <w:rPr>
          <w:b/>
          <w:color w:val="444746"/>
          <w:sz w:val="26"/>
          <w:szCs w:val="26"/>
        </w:rPr>
      </w:pPr>
      <w:r w:rsidRPr="00EF46E6">
        <w:rPr>
          <w:b/>
          <w:noProof/>
          <w:color w:val="E7E6E6" w:themeColor="background2"/>
          <w:sz w:val="28"/>
          <w:szCs w:val="28"/>
        </w:rPr>
        <mc:AlternateContent>
          <mc:Choice Requires="wps">
            <w:drawing>
              <wp:anchor distT="0" distB="0" distL="114300" distR="114300" simplePos="0" relativeHeight="251674624" behindDoc="0" locked="0" layoutInCell="1" allowOverlap="1" wp14:anchorId="7B03E492" wp14:editId="358A0254">
                <wp:simplePos x="0" y="0"/>
                <wp:positionH relativeFrom="margin">
                  <wp:align>center</wp:align>
                </wp:positionH>
                <wp:positionV relativeFrom="paragraph">
                  <wp:posOffset>223520</wp:posOffset>
                </wp:positionV>
                <wp:extent cx="8136255" cy="0"/>
                <wp:effectExtent l="57150" t="38100" r="55245" b="95250"/>
                <wp:wrapNone/>
                <wp:docPr id="944302150"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8136255" cy="0"/>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113657" id="Straight Connector 3" o:spid="_x0000_s1026" alt="&quot;&quot;" style="position:absolute;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7.6pt" to="640.6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" strokecolor="#a5a5a5 [3206]" strokeweight="3pt">
                <v:shadow on="t" color="black" opacity="22937f" origin=",.5" offset="0,.63889mm"/>
                <w10:wrap anchorx="margin"/>
              </v:line>
            </w:pict>
          </mc:Fallback>
        </mc:AlternateContent>
      </w:r>
    </w:p>
    <w:p w14:paraId="69C00E8E" w14:textId="77777777" w:rsidR="009E50E1" w:rsidRDefault="009E50E1" w:rsidP="00251836">
      <w:pPr>
        <w:tabs>
          <w:tab w:val="left" w:pos="3160"/>
        </w:tabs>
        <w:spacing w:before="120" w:after="120" w:line="240" w:lineRule="auto"/>
        <w:ind w:right="-360"/>
        <w:rPr>
          <w:b/>
          <w:color w:val="0B5394"/>
          <w:sz w:val="40"/>
          <w:szCs w:val="40"/>
        </w:rPr>
      </w:pPr>
    </w:p>
    <w:p w14:paraId="4F84BF43" w14:textId="16E02E5B" w:rsidR="00C639F1" w:rsidRDefault="00C639F1" w:rsidP="00251836">
      <w:pPr>
        <w:tabs>
          <w:tab w:val="left" w:pos="3160"/>
        </w:tabs>
        <w:spacing w:before="120" w:after="120" w:line="240" w:lineRule="auto"/>
        <w:ind w:right="-360"/>
        <w:rPr>
          <w:b/>
          <w:color w:val="0B5394"/>
          <w:sz w:val="40"/>
          <w:szCs w:val="40"/>
        </w:rPr>
        <w:sectPr w:rsidR="00C639F1" w:rsidSect="00251836">
          <w:footerReference w:type="default" r:id="rId8"/>
          <w:type w:val="continuous"/>
          <w:pgSz w:w="12240" w:h="15840"/>
          <w:pgMar w:top="0" w:right="1440" w:bottom="540" w:left="1080" w:header="720" w:footer="0" w:gutter="0"/>
          <w:cols w:space="720"/>
        </w:sectPr>
      </w:pPr>
    </w:p>
    <w:p w14:paraId="00000004" w14:textId="052FC96C" w:rsidR="00026B11" w:rsidRPr="00C4360A" w:rsidRDefault="00491CA8" w:rsidP="00251836">
      <w:pPr>
        <w:pStyle w:val="Heading1"/>
        <w:spacing w:before="240" w:after="240" w:line="440" w:lineRule="exact"/>
      </w:pPr>
      <w:r w:rsidRPr="00C4360A">
        <w:rPr>
          <w:color w:val="2F5496" w:themeColor="accent1" w:themeShade="BF"/>
        </w:rPr>
        <w:t>Introduction:</w:t>
      </w:r>
      <w:r w:rsidRPr="00C4360A">
        <w:t xml:space="preserve"> </w:t>
      </w:r>
    </w:p>
    <w:p w14:paraId="1F785BA9" w14:textId="77777777" w:rsidR="00B43F26" w:rsidRDefault="00B43F26" w:rsidP="00B43F26">
      <w:pPr>
        <w:spacing w:after="240" w:line="240" w:lineRule="auto"/>
        <w:rPr>
          <w:sz w:val="28"/>
          <w:szCs w:val="28"/>
        </w:rPr>
        <w:sectPr w:rsidR="00B43F26" w:rsidSect="00251836">
          <w:type w:val="continuous"/>
          <w:pgSz w:w="12240" w:h="15840"/>
          <w:pgMar w:top="540" w:right="1440" w:bottom="540" w:left="1080" w:header="720" w:footer="0" w:gutter="0"/>
          <w:cols w:num="2" w:space="720"/>
        </w:sectPr>
      </w:pPr>
    </w:p>
    <w:p w14:paraId="1BD5176D" w14:textId="760CD4F1" w:rsidR="00B43F26" w:rsidRPr="0088044B" w:rsidRDefault="00B43F26" w:rsidP="00B43F26">
      <w:pPr>
        <w:spacing w:after="240" w:line="240" w:lineRule="auto"/>
        <w:rPr>
          <w:sz w:val="26"/>
          <w:szCs w:val="28"/>
        </w:rPr>
      </w:pPr>
      <w:r>
        <w:rPr>
          <w:b/>
          <w:bCs/>
          <w:noProof/>
          <w:sz w:val="28"/>
          <w:szCs w:val="28"/>
        </w:rPr>
        <mc:AlternateContent>
          <mc:Choice Requires="wps">
            <w:drawing>
              <wp:anchor distT="0" distB="0" distL="114300" distR="114300" simplePos="0" relativeHeight="251666431" behindDoc="1" locked="0" layoutInCell="1" allowOverlap="1" wp14:anchorId="7A9ADB4F" wp14:editId="3950EF93">
                <wp:simplePos x="0" y="0"/>
                <wp:positionH relativeFrom="column">
                  <wp:posOffset>3257550</wp:posOffset>
                </wp:positionH>
                <wp:positionV relativeFrom="paragraph">
                  <wp:posOffset>687070</wp:posOffset>
                </wp:positionV>
                <wp:extent cx="2943225" cy="3743325"/>
                <wp:effectExtent l="57150" t="19050" r="66675" b="85725"/>
                <wp:wrapNone/>
                <wp:docPr id="49101229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43225" cy="3743325"/>
                        </a:xfrm>
                        <a:prstGeom prst="rect">
                          <a:avLst/>
                        </a:prstGeom>
                        <a:solidFill>
                          <a:schemeClr val="accent5">
                            <a:lumMod val="20000"/>
                            <a:lumOff val="8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93B7AA" id="Rectangle 1" o:spid="_x0000_s1026" alt="&quot;&quot;" style="position:absolute;margin-left:256.5pt;margin-top:54.1pt;width:231.75pt;height:294.75pt;z-index:-2516500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" fillcolor="#deeaf6 [664]" stroked="f">
                <v:shadow on="t" color="black" opacity="22937f" origin=",.5" offset="0,.63889mm"/>
              </v:rect>
            </w:pict>
          </mc:Fallback>
        </mc:AlternateContent>
      </w:r>
      <w:r w:rsidRPr="009339BC">
        <w:rPr>
          <w:sz w:val="28"/>
          <w:szCs w:val="28"/>
        </w:rPr>
        <w:t>T</w:t>
      </w:r>
      <w:r w:rsidRPr="0088044B">
        <w:rPr>
          <w:sz w:val="26"/>
          <w:szCs w:val="28"/>
        </w:rPr>
        <w:t xml:space="preserve">he Federal Advisory Committee Act (FACA or “the Act”), as amended, 5 U.S.C. 1001 </w:t>
      </w:r>
      <w:r w:rsidRPr="0088044B">
        <w:rPr>
          <w:i/>
          <w:sz w:val="26"/>
          <w:szCs w:val="28"/>
        </w:rPr>
        <w:t>et seq.</w:t>
      </w:r>
      <w:r>
        <w:rPr>
          <w:i/>
          <w:sz w:val="26"/>
          <w:szCs w:val="28"/>
        </w:rPr>
        <w:t>,</w:t>
      </w:r>
      <w:r w:rsidRPr="0088044B">
        <w:rPr>
          <w:sz w:val="26"/>
          <w:szCs w:val="28"/>
        </w:rPr>
        <w:t xml:space="preserve"> and the implementing regulations in the FACA Final Rule (41 CFR 102-3) provide the basis for and guidance concerning the governance of the establishment, operation, management, and termination of Federal advisory committees (“advisory committee”) in the executive branch.  5 U</w:t>
      </w:r>
      <w:r>
        <w:rPr>
          <w:sz w:val="26"/>
          <w:szCs w:val="28"/>
        </w:rPr>
        <w:t>.</w:t>
      </w:r>
      <w:r w:rsidRPr="0088044B">
        <w:rPr>
          <w:sz w:val="26"/>
          <w:szCs w:val="28"/>
        </w:rPr>
        <w:t>S</w:t>
      </w:r>
      <w:r>
        <w:rPr>
          <w:sz w:val="26"/>
          <w:szCs w:val="28"/>
        </w:rPr>
        <w:t>.</w:t>
      </w:r>
      <w:r w:rsidRPr="0088044B">
        <w:rPr>
          <w:sz w:val="26"/>
          <w:szCs w:val="28"/>
        </w:rPr>
        <w:t>C</w:t>
      </w:r>
      <w:r>
        <w:rPr>
          <w:sz w:val="26"/>
          <w:szCs w:val="28"/>
        </w:rPr>
        <w:t>.</w:t>
      </w:r>
      <w:r w:rsidRPr="0088044B">
        <w:rPr>
          <w:sz w:val="26"/>
          <w:szCs w:val="28"/>
        </w:rPr>
        <w:t xml:space="preserve"> 1004(b)(2), (c) require “…the membership of the advisory committee to be fairly balanced in terms of the points of view represented and the functions to be performed by the advisory committee…” </w:t>
      </w:r>
    </w:p>
    <w:p w14:paraId="58F06918" w14:textId="77777777" w:rsidR="00B43F26" w:rsidRPr="0088044B" w:rsidRDefault="00B43F26" w:rsidP="00B43F26">
      <w:pPr>
        <w:spacing w:after="240" w:line="240" w:lineRule="auto"/>
        <w:rPr>
          <w:sz w:val="26"/>
          <w:szCs w:val="28"/>
        </w:rPr>
      </w:pPr>
      <w:r w:rsidRPr="0088044B">
        <w:rPr>
          <w:sz w:val="26"/>
          <w:szCs w:val="28"/>
        </w:rPr>
        <w:t>The corresponding FACA Final Rule reiterates this requirement at 41 CFR § 102-3.30(c), and, for discretionary (agency authority or authorized by statute) advisory committees being established, renewed, reestablished, or merged requires agencies to provide a description of their plan to attain fairly balanced membership during the charter consultation process with the Committee Management Secretariat (CMS</w:t>
      </w:r>
      <w:proofErr w:type="gramStart"/>
      <w:r w:rsidRPr="0088044B">
        <w:rPr>
          <w:sz w:val="26"/>
          <w:szCs w:val="28"/>
        </w:rPr>
        <w:t>)(</w:t>
      </w:r>
      <w:proofErr w:type="gramEnd"/>
      <w:r w:rsidRPr="0088044B">
        <w:rPr>
          <w:sz w:val="26"/>
          <w:szCs w:val="28"/>
        </w:rPr>
        <w:t xml:space="preserve">41 CFR § 102- 3.60(b)(3)). </w:t>
      </w:r>
    </w:p>
    <w:p w14:paraId="19FC95E9" w14:textId="20C105C3" w:rsidR="00B43F26" w:rsidRPr="0088044B" w:rsidRDefault="00B43F26" w:rsidP="00B43F26">
      <w:pPr>
        <w:spacing w:after="240" w:line="240" w:lineRule="auto"/>
        <w:rPr>
          <w:sz w:val="26"/>
          <w:szCs w:val="28"/>
        </w:rPr>
      </w:pPr>
      <w:r w:rsidRPr="001A00CF">
        <w:rPr>
          <w:sz w:val="26"/>
          <w:szCs w:val="28"/>
        </w:rPr>
        <w:t>A Membership Balance Plan</w:t>
      </w:r>
      <w:r>
        <w:rPr>
          <w:sz w:val="26"/>
          <w:szCs w:val="28"/>
        </w:rPr>
        <w:t xml:space="preserve"> (MBP)</w:t>
      </w:r>
      <w:r w:rsidRPr="0088044B">
        <w:rPr>
          <w:sz w:val="26"/>
          <w:szCs w:val="28"/>
        </w:rPr>
        <w:t xml:space="preserve"> is a best practice and is consistent with 5 U</w:t>
      </w:r>
      <w:r>
        <w:rPr>
          <w:sz w:val="26"/>
          <w:szCs w:val="28"/>
        </w:rPr>
        <w:t>.</w:t>
      </w:r>
      <w:r w:rsidRPr="0088044B">
        <w:rPr>
          <w:sz w:val="26"/>
          <w:szCs w:val="28"/>
        </w:rPr>
        <w:t>S</w:t>
      </w:r>
      <w:r>
        <w:rPr>
          <w:sz w:val="26"/>
          <w:szCs w:val="28"/>
        </w:rPr>
        <w:t>.</w:t>
      </w:r>
      <w:r w:rsidRPr="0088044B">
        <w:rPr>
          <w:sz w:val="26"/>
          <w:szCs w:val="28"/>
        </w:rPr>
        <w:t>C</w:t>
      </w:r>
      <w:r>
        <w:rPr>
          <w:sz w:val="26"/>
          <w:szCs w:val="28"/>
        </w:rPr>
        <w:t>.</w:t>
      </w:r>
      <w:r w:rsidRPr="0088044B">
        <w:rPr>
          <w:sz w:val="26"/>
          <w:szCs w:val="28"/>
        </w:rPr>
        <w:t xml:space="preserve"> 1004(b)(2), (c). In addition, while some statutes prescribe an advisory committee’s membership, many prescribe </w:t>
      </w:r>
      <w:r>
        <w:rPr>
          <w:sz w:val="26"/>
          <w:szCs w:val="28"/>
        </w:rPr>
        <w:t>o</w:t>
      </w:r>
      <w:r w:rsidRPr="0088044B">
        <w:rPr>
          <w:sz w:val="26"/>
          <w:szCs w:val="28"/>
        </w:rPr>
        <w:t xml:space="preserve">nly part of the membership, and </w:t>
      </w:r>
      <w:r>
        <w:rPr>
          <w:sz w:val="26"/>
          <w:szCs w:val="28"/>
        </w:rPr>
        <w:t>a</w:t>
      </w:r>
      <w:r w:rsidRPr="0088044B">
        <w:rPr>
          <w:sz w:val="26"/>
          <w:szCs w:val="28"/>
        </w:rPr>
        <w:t xml:space="preserve">gencies need to apply balance to the membership appointments they control.  </w:t>
      </w:r>
    </w:p>
    <w:p w14:paraId="4A09F7AD" w14:textId="31F74488" w:rsidR="00B43F26" w:rsidRPr="001A00CF" w:rsidRDefault="00B43F26" w:rsidP="00B43F26">
      <w:pPr>
        <w:spacing w:before="240" w:after="240" w:line="320" w:lineRule="exact"/>
        <w:ind w:right="29"/>
        <w:rPr>
          <w:b/>
          <w:bCs/>
          <w:sz w:val="28"/>
          <w:szCs w:val="28"/>
        </w:rPr>
      </w:pPr>
      <w:r w:rsidRPr="001A00CF">
        <w:rPr>
          <w:b/>
          <w:bCs/>
          <w:sz w:val="28"/>
          <w:szCs w:val="28"/>
        </w:rPr>
        <w:t>Are Membership Balance Plans required or a best practice?</w:t>
      </w:r>
    </w:p>
    <w:p w14:paraId="7B6F976A" w14:textId="77777777" w:rsidR="00B43F26" w:rsidRPr="001A00CF" w:rsidRDefault="00B43F26" w:rsidP="00B43F26">
      <w:pPr>
        <w:spacing w:before="240" w:after="240" w:line="320" w:lineRule="exact"/>
        <w:ind w:right="29"/>
        <w:rPr>
          <w:sz w:val="26"/>
          <w:szCs w:val="26"/>
        </w:rPr>
      </w:pPr>
      <w:r w:rsidRPr="001A00CF">
        <w:rPr>
          <w:sz w:val="26"/>
          <w:szCs w:val="26"/>
        </w:rPr>
        <w:t xml:space="preserve">FACA requires all Federal advisory committees to be </w:t>
      </w:r>
      <w:proofErr w:type="gramStart"/>
      <w:r w:rsidRPr="001A00CF">
        <w:rPr>
          <w:sz w:val="26"/>
          <w:szCs w:val="26"/>
        </w:rPr>
        <w:t>fairly balanced</w:t>
      </w:r>
      <w:proofErr w:type="gramEnd"/>
      <w:r w:rsidRPr="001A00CF">
        <w:rPr>
          <w:sz w:val="26"/>
          <w:szCs w:val="26"/>
        </w:rPr>
        <w:t xml:space="preserve">, regardless of whether they are discretionary or non-discretionary (required by statute or Presidential directive) advisory committees. </w:t>
      </w:r>
    </w:p>
    <w:p w14:paraId="0310A91C" w14:textId="77777777" w:rsidR="00B43F26" w:rsidRPr="00475DD8" w:rsidRDefault="00B43F26" w:rsidP="00B43F26">
      <w:pPr>
        <w:spacing w:before="240" w:after="240" w:line="320" w:lineRule="exact"/>
        <w:ind w:right="29"/>
        <w:rPr>
          <w:sz w:val="26"/>
          <w:szCs w:val="26"/>
        </w:rPr>
      </w:pPr>
      <w:r w:rsidRPr="001A00CF">
        <w:rPr>
          <w:sz w:val="26"/>
          <w:szCs w:val="26"/>
        </w:rPr>
        <w:t>Although the FACA Final Rule only addresses the MBP</w:t>
      </w:r>
      <w:r w:rsidRPr="00475DD8">
        <w:rPr>
          <w:sz w:val="26"/>
          <w:szCs w:val="26"/>
        </w:rPr>
        <w:t xml:space="preserve"> for discretionary advisory committees, CMS highly recommends that </w:t>
      </w:r>
      <w:r>
        <w:rPr>
          <w:sz w:val="26"/>
          <w:szCs w:val="26"/>
        </w:rPr>
        <w:t>e</w:t>
      </w:r>
      <w:r w:rsidRPr="00475DD8">
        <w:rPr>
          <w:sz w:val="26"/>
          <w:szCs w:val="26"/>
        </w:rPr>
        <w:t xml:space="preserve">xecutive departments and agencies apply these requirements to non-discretionary advisory committees as well. </w:t>
      </w:r>
    </w:p>
    <w:p w14:paraId="2CAE21A2" w14:textId="77777777" w:rsidR="00B43F26" w:rsidRDefault="00B43F26" w:rsidP="00B43F26">
      <w:pPr>
        <w:spacing w:after="240" w:line="240" w:lineRule="auto"/>
        <w:rPr>
          <w:sz w:val="26"/>
          <w:szCs w:val="28"/>
        </w:rPr>
      </w:pPr>
    </w:p>
    <w:p w14:paraId="0A0FDD78" w14:textId="1F697B5B" w:rsidR="00B43F26" w:rsidRPr="0088044B" w:rsidRDefault="00B43F26" w:rsidP="00B43F26">
      <w:pPr>
        <w:spacing w:after="240" w:line="240" w:lineRule="auto"/>
        <w:rPr>
          <w:sz w:val="26"/>
          <w:szCs w:val="28"/>
        </w:rPr>
      </w:pPr>
      <w:r w:rsidRPr="0088044B">
        <w:rPr>
          <w:sz w:val="26"/>
          <w:szCs w:val="28"/>
        </w:rPr>
        <w:t xml:space="preserve">The requirement for </w:t>
      </w:r>
      <w:proofErr w:type="gramStart"/>
      <w:r w:rsidRPr="0088044B">
        <w:rPr>
          <w:sz w:val="26"/>
          <w:szCs w:val="28"/>
        </w:rPr>
        <w:t>fairly balanced</w:t>
      </w:r>
      <w:proofErr w:type="gramEnd"/>
      <w:r w:rsidRPr="0088044B">
        <w:rPr>
          <w:sz w:val="26"/>
          <w:szCs w:val="28"/>
        </w:rPr>
        <w:t xml:space="preserve"> membership applies not only during the formation of advisory committee membership for a new advisory committee, but also as membership vacancies occur.  Although FACA mandates that Federal advisory committees be </w:t>
      </w:r>
      <w:proofErr w:type="gramStart"/>
      <w:r w:rsidRPr="0088044B">
        <w:rPr>
          <w:sz w:val="26"/>
          <w:szCs w:val="28"/>
        </w:rPr>
        <w:t>fairly balanced</w:t>
      </w:r>
      <w:proofErr w:type="gramEnd"/>
      <w:r w:rsidRPr="0088044B">
        <w:rPr>
          <w:sz w:val="26"/>
          <w:szCs w:val="28"/>
        </w:rPr>
        <w:t xml:space="preserve"> in the points of view represented by their membership, </w:t>
      </w:r>
      <w:r w:rsidRPr="0088044B">
        <w:rPr>
          <w:sz w:val="26"/>
          <w:szCs w:val="28"/>
          <w:u w:val="single"/>
        </w:rPr>
        <w:t>how</w:t>
      </w:r>
      <w:r w:rsidRPr="0088044B">
        <w:rPr>
          <w:sz w:val="26"/>
          <w:szCs w:val="28"/>
        </w:rPr>
        <w:t xml:space="preserve"> to achieve balance is at the discretion of each agency. </w:t>
      </w:r>
    </w:p>
    <w:p w14:paraId="32AA5DA9" w14:textId="77777777" w:rsidR="009E50E1" w:rsidRDefault="009E50E1" w:rsidP="008716BC">
      <w:pPr>
        <w:spacing w:before="120" w:after="120" w:line="240" w:lineRule="auto"/>
        <w:ind w:right="-360"/>
        <w:rPr>
          <w:b/>
          <w:color w:val="0B5394"/>
          <w:sz w:val="40"/>
          <w:szCs w:val="40"/>
        </w:rPr>
        <w:sectPr w:rsidR="009E50E1" w:rsidSect="00B43F26">
          <w:type w:val="continuous"/>
          <w:pgSz w:w="12240" w:h="15840"/>
          <w:pgMar w:top="540" w:right="1440" w:bottom="540" w:left="1080" w:header="720" w:footer="0" w:gutter="0"/>
          <w:cols w:num="2" w:space="720"/>
        </w:sectPr>
      </w:pPr>
    </w:p>
    <w:p w14:paraId="676132CA" w14:textId="67C22DE1" w:rsidR="00B43F26" w:rsidRPr="00761EB2" w:rsidRDefault="00B43F26" w:rsidP="00761EB2">
      <w:pPr>
        <w:rPr>
          <w:b/>
          <w:color w:val="2F5496" w:themeColor="accent1" w:themeShade="BF"/>
          <w:sz w:val="48"/>
          <w:szCs w:val="48"/>
        </w:rPr>
        <w:sectPr w:rsidR="00B43F26" w:rsidRPr="00761EB2" w:rsidSect="00B43F26">
          <w:type w:val="continuous"/>
          <w:pgSz w:w="12240" w:h="15840"/>
          <w:pgMar w:top="540" w:right="1440" w:bottom="540" w:left="1080" w:header="720" w:footer="367" w:gutter="0"/>
          <w:cols w:num="2" w:space="720"/>
        </w:sectPr>
      </w:pPr>
    </w:p>
    <w:p w14:paraId="0000000E" w14:textId="31841C6F" w:rsidR="00026B11" w:rsidRPr="00251836" w:rsidRDefault="00491CA8" w:rsidP="00761EB2">
      <w:pPr>
        <w:pStyle w:val="Heading1"/>
        <w:spacing w:line="20" w:lineRule="exact"/>
        <w:rPr>
          <w:color w:val="2F5496" w:themeColor="accent1" w:themeShade="BF"/>
        </w:rPr>
      </w:pPr>
      <w:r w:rsidRPr="00251836">
        <w:rPr>
          <w:color w:val="2F5496" w:themeColor="accent1" w:themeShade="BF"/>
        </w:rPr>
        <w:lastRenderedPageBreak/>
        <w:t>F</w:t>
      </w:r>
      <w:r w:rsidR="00C639F1">
        <w:rPr>
          <w:color w:val="2F5496" w:themeColor="accent1" w:themeShade="BF"/>
        </w:rPr>
        <w:t>ACA Final Rule:</w:t>
      </w:r>
    </w:p>
    <w:p w14:paraId="1F958378" w14:textId="3443AE62" w:rsidR="00761EB2" w:rsidRDefault="00761EB2" w:rsidP="00C639F1">
      <w:pPr>
        <w:spacing w:before="160" w:line="260" w:lineRule="exact"/>
        <w:rPr>
          <w:sz w:val="24"/>
          <w:szCs w:val="24"/>
        </w:rPr>
      </w:pPr>
      <w:r>
        <w:rPr>
          <w:noProof/>
          <w:color w:val="2F5496" w:themeColor="accent1" w:themeShade="BF"/>
        </w:rPr>
        <mc:AlternateContent>
          <mc:Choice Requires="wps">
            <w:drawing>
              <wp:anchor distT="0" distB="0" distL="114300" distR="114300" simplePos="0" relativeHeight="251687936" behindDoc="1" locked="0" layoutInCell="1" allowOverlap="1" wp14:anchorId="64B286DD" wp14:editId="783B8927">
                <wp:simplePos x="0" y="0"/>
                <wp:positionH relativeFrom="column">
                  <wp:posOffset>-66675</wp:posOffset>
                </wp:positionH>
                <wp:positionV relativeFrom="paragraph">
                  <wp:posOffset>165099</wp:posOffset>
                </wp:positionV>
                <wp:extent cx="6248400" cy="2809875"/>
                <wp:effectExtent l="57150" t="19050" r="57150" b="85725"/>
                <wp:wrapNone/>
                <wp:docPr id="387411659"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48400" cy="2809875"/>
                        </a:xfrm>
                        <a:prstGeom prst="rect">
                          <a:avLst/>
                        </a:prstGeom>
                        <a:solidFill>
                          <a:schemeClr val="accent5">
                            <a:lumMod val="20000"/>
                            <a:lumOff val="8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9B91B" id="Rectangle 2" o:spid="_x0000_s1026" alt="&quot;&quot;" style="position:absolute;margin-left:-5.25pt;margin-top:13pt;width:492pt;height:221.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" fillcolor="#deeaf6 [664]" stroked="f">
                <v:shadow on="t" color="black" opacity="22937f" origin=",.5" offset="0,.63889mm"/>
              </v:rect>
            </w:pict>
          </mc:Fallback>
        </mc:AlternateContent>
      </w:r>
    </w:p>
    <w:p w14:paraId="53B3D2DC" w14:textId="70F91B34" w:rsidR="00C639F1" w:rsidRPr="000C38B6" w:rsidRDefault="00C639F1" w:rsidP="00C639F1">
      <w:pPr>
        <w:spacing w:before="160" w:line="260" w:lineRule="exact"/>
        <w:rPr>
          <w:sz w:val="24"/>
          <w:szCs w:val="24"/>
        </w:rPr>
      </w:pPr>
      <w:r w:rsidRPr="000C38B6">
        <w:rPr>
          <w:sz w:val="24"/>
          <w:szCs w:val="24"/>
        </w:rPr>
        <w:t xml:space="preserve">The FACA Final Rule clarifies that to attain </w:t>
      </w:r>
      <w:proofErr w:type="gramStart"/>
      <w:r w:rsidRPr="000C38B6">
        <w:rPr>
          <w:sz w:val="24"/>
          <w:szCs w:val="24"/>
        </w:rPr>
        <w:t>fairly balanced</w:t>
      </w:r>
      <w:proofErr w:type="gramEnd"/>
      <w:r w:rsidRPr="000C38B6">
        <w:rPr>
          <w:sz w:val="24"/>
          <w:szCs w:val="24"/>
        </w:rPr>
        <w:t xml:space="preserve"> membership, agencies:</w:t>
      </w:r>
    </w:p>
    <w:p w14:paraId="34AD2D85" w14:textId="77777777" w:rsidR="00C639F1" w:rsidRPr="000C38B6" w:rsidRDefault="00C639F1" w:rsidP="00C639F1">
      <w:pPr>
        <w:pStyle w:val="ListParagraph"/>
        <w:numPr>
          <w:ilvl w:val="0"/>
          <w:numId w:val="17"/>
        </w:numPr>
        <w:spacing w:before="160" w:line="260" w:lineRule="exact"/>
        <w:contextualSpacing w:val="0"/>
        <w:rPr>
          <w:sz w:val="24"/>
          <w:szCs w:val="24"/>
        </w:rPr>
      </w:pPr>
      <w:r>
        <w:rPr>
          <w:sz w:val="24"/>
          <w:szCs w:val="24"/>
        </w:rPr>
        <w:t>S</w:t>
      </w:r>
      <w:r w:rsidRPr="000C38B6">
        <w:rPr>
          <w:sz w:val="24"/>
          <w:szCs w:val="24"/>
        </w:rPr>
        <w:t>hould ensure they fully consider and understand the potential implications or anticipated impacts of the advisory committee’s potential recommendations, including groups and entities potentially affected or interested in such recommendations, in determining the areas of expertise or perspectives needed (including relevant lived experience</w:t>
      </w:r>
      <w:proofErr w:type="gramStart"/>
      <w:r w:rsidRPr="000C38B6">
        <w:rPr>
          <w:sz w:val="24"/>
          <w:szCs w:val="24"/>
        </w:rPr>
        <w:t>);</w:t>
      </w:r>
      <w:proofErr w:type="gramEnd"/>
      <w:r w:rsidRPr="000C38B6">
        <w:rPr>
          <w:sz w:val="24"/>
          <w:szCs w:val="24"/>
        </w:rPr>
        <w:t xml:space="preserve">  </w:t>
      </w:r>
    </w:p>
    <w:p w14:paraId="72B81ADC" w14:textId="77777777" w:rsidR="00C639F1" w:rsidRPr="000C38B6" w:rsidRDefault="00C639F1" w:rsidP="00C639F1">
      <w:pPr>
        <w:pStyle w:val="ListParagraph"/>
        <w:numPr>
          <w:ilvl w:val="0"/>
          <w:numId w:val="17"/>
        </w:numPr>
        <w:spacing w:before="160" w:line="260" w:lineRule="exact"/>
        <w:contextualSpacing w:val="0"/>
        <w:rPr>
          <w:sz w:val="24"/>
          <w:szCs w:val="24"/>
        </w:rPr>
      </w:pPr>
      <w:r>
        <w:rPr>
          <w:sz w:val="24"/>
          <w:szCs w:val="24"/>
        </w:rPr>
        <w:t>S</w:t>
      </w:r>
      <w:r w:rsidRPr="000C38B6">
        <w:rPr>
          <w:sz w:val="24"/>
          <w:szCs w:val="24"/>
        </w:rPr>
        <w:t xml:space="preserve">hould include persons with demonstrated professional or personal qualifications and experience relevant to the functions and tasks to be performed on advisory committees requiring technical </w:t>
      </w:r>
      <w:proofErr w:type="gramStart"/>
      <w:r w:rsidRPr="000C38B6">
        <w:rPr>
          <w:sz w:val="24"/>
          <w:szCs w:val="24"/>
        </w:rPr>
        <w:t>expertise;</w:t>
      </w:r>
      <w:proofErr w:type="gramEnd"/>
      <w:r w:rsidRPr="000C38B6">
        <w:rPr>
          <w:sz w:val="24"/>
          <w:szCs w:val="24"/>
        </w:rPr>
        <w:t xml:space="preserve"> </w:t>
      </w:r>
    </w:p>
    <w:p w14:paraId="1BEB5812" w14:textId="77777777" w:rsidR="00C639F1" w:rsidRPr="000C38B6" w:rsidRDefault="00C639F1" w:rsidP="00C639F1">
      <w:pPr>
        <w:pStyle w:val="ListParagraph"/>
        <w:numPr>
          <w:ilvl w:val="0"/>
          <w:numId w:val="17"/>
        </w:numPr>
        <w:spacing w:before="160" w:line="260" w:lineRule="exact"/>
        <w:contextualSpacing w:val="0"/>
        <w:rPr>
          <w:sz w:val="24"/>
          <w:szCs w:val="24"/>
        </w:rPr>
      </w:pPr>
      <w:r>
        <w:rPr>
          <w:sz w:val="24"/>
          <w:szCs w:val="24"/>
        </w:rPr>
        <w:t>M</w:t>
      </w:r>
      <w:r w:rsidRPr="000C38B6">
        <w:rPr>
          <w:sz w:val="24"/>
          <w:szCs w:val="24"/>
        </w:rPr>
        <w:t xml:space="preserve">ust described the agency’s conclusions regarding the points of view needed to promote </w:t>
      </w:r>
      <w:proofErr w:type="gramStart"/>
      <w:r w:rsidRPr="000C38B6">
        <w:rPr>
          <w:sz w:val="24"/>
          <w:szCs w:val="24"/>
        </w:rPr>
        <w:t>fairly balanced</w:t>
      </w:r>
      <w:proofErr w:type="gramEnd"/>
      <w:r w:rsidRPr="000C38B6">
        <w:rPr>
          <w:sz w:val="24"/>
          <w:szCs w:val="24"/>
        </w:rPr>
        <w:t xml:space="preserve"> membership; and </w:t>
      </w:r>
    </w:p>
    <w:p w14:paraId="2E9E5E9E" w14:textId="77777777" w:rsidR="00C639F1" w:rsidRPr="0075796C" w:rsidRDefault="00C639F1" w:rsidP="00C639F1">
      <w:pPr>
        <w:pStyle w:val="ListParagraph"/>
        <w:numPr>
          <w:ilvl w:val="0"/>
          <w:numId w:val="17"/>
        </w:numPr>
        <w:tabs>
          <w:tab w:val="left" w:pos="9141"/>
        </w:tabs>
        <w:spacing w:before="160" w:line="260" w:lineRule="exact"/>
        <w:contextualSpacing w:val="0"/>
      </w:pPr>
      <w:r>
        <w:rPr>
          <w:sz w:val="24"/>
          <w:szCs w:val="24"/>
        </w:rPr>
        <w:t>S</w:t>
      </w:r>
      <w:r w:rsidRPr="000C38B6">
        <w:rPr>
          <w:sz w:val="24"/>
          <w:szCs w:val="24"/>
        </w:rPr>
        <w:t>hould conduct broad outreach, using a variety of means and methods, to ensure the call for nominees reaches the interested parties and stakeholder groups likely to possess those points of view (including underserved communities, as appropriate)</w:t>
      </w:r>
      <w:r>
        <w:rPr>
          <w:sz w:val="24"/>
          <w:szCs w:val="24"/>
        </w:rPr>
        <w:t>.</w:t>
      </w:r>
    </w:p>
    <w:p w14:paraId="616E6166" w14:textId="77777777" w:rsidR="00C639F1" w:rsidRDefault="00C639F1" w:rsidP="00C639F1">
      <w:pPr>
        <w:spacing w:before="160" w:line="260" w:lineRule="exact"/>
        <w:rPr>
          <w:sz w:val="24"/>
          <w:szCs w:val="24"/>
        </w:rPr>
      </w:pPr>
    </w:p>
    <w:p w14:paraId="09192453" w14:textId="1E0C859C" w:rsidR="00C639F1" w:rsidRPr="000C38B6" w:rsidRDefault="00C639F1" w:rsidP="00C639F1">
      <w:pPr>
        <w:spacing w:before="160" w:line="260" w:lineRule="exact"/>
        <w:rPr>
          <w:sz w:val="24"/>
          <w:szCs w:val="24"/>
        </w:rPr>
      </w:pPr>
      <w:r w:rsidRPr="000C38B6">
        <w:rPr>
          <w:sz w:val="24"/>
          <w:szCs w:val="24"/>
        </w:rPr>
        <w:t xml:space="preserve">In addition, best practice guidance in achieving </w:t>
      </w:r>
      <w:proofErr w:type="gramStart"/>
      <w:r w:rsidRPr="000C38B6">
        <w:rPr>
          <w:sz w:val="24"/>
          <w:szCs w:val="24"/>
        </w:rPr>
        <w:t>fairly balanced</w:t>
      </w:r>
      <w:proofErr w:type="gramEnd"/>
      <w:r w:rsidRPr="000C38B6">
        <w:rPr>
          <w:sz w:val="24"/>
          <w:szCs w:val="24"/>
        </w:rPr>
        <w:t xml:space="preserve"> Federal advisory committee membership includes considering the: </w:t>
      </w:r>
    </w:p>
    <w:p w14:paraId="24934C63" w14:textId="77777777" w:rsidR="00C639F1" w:rsidRPr="000C38B6" w:rsidRDefault="00C639F1" w:rsidP="00C639F1">
      <w:pPr>
        <w:pStyle w:val="ListParagraph"/>
        <w:numPr>
          <w:ilvl w:val="0"/>
          <w:numId w:val="18"/>
        </w:numPr>
        <w:spacing w:before="160" w:line="260" w:lineRule="exact"/>
        <w:ind w:left="810" w:hanging="270"/>
        <w:contextualSpacing w:val="0"/>
        <w:rPr>
          <w:sz w:val="24"/>
          <w:szCs w:val="24"/>
        </w:rPr>
      </w:pPr>
      <w:r w:rsidRPr="000C38B6">
        <w:rPr>
          <w:sz w:val="24"/>
          <w:szCs w:val="24"/>
        </w:rPr>
        <w:t xml:space="preserve">Federal advisory committee’s </w:t>
      </w:r>
      <w:proofErr w:type="gramStart"/>
      <w:r w:rsidRPr="000C38B6">
        <w:rPr>
          <w:sz w:val="24"/>
          <w:szCs w:val="24"/>
        </w:rPr>
        <w:t>mission;</w:t>
      </w:r>
      <w:proofErr w:type="gramEnd"/>
      <w:r w:rsidRPr="000C38B6">
        <w:rPr>
          <w:sz w:val="24"/>
          <w:szCs w:val="24"/>
        </w:rPr>
        <w:t xml:space="preserve"> </w:t>
      </w:r>
    </w:p>
    <w:p w14:paraId="41E62956" w14:textId="77777777" w:rsidR="00C639F1" w:rsidRPr="000C38B6" w:rsidRDefault="00C639F1" w:rsidP="00C639F1">
      <w:pPr>
        <w:pStyle w:val="ListParagraph"/>
        <w:numPr>
          <w:ilvl w:val="0"/>
          <w:numId w:val="18"/>
        </w:numPr>
        <w:spacing w:before="160" w:line="260" w:lineRule="exact"/>
        <w:ind w:left="810" w:hanging="270"/>
        <w:contextualSpacing w:val="0"/>
        <w:rPr>
          <w:sz w:val="24"/>
          <w:szCs w:val="24"/>
        </w:rPr>
      </w:pPr>
      <w:r w:rsidRPr="000C38B6">
        <w:rPr>
          <w:sz w:val="24"/>
          <w:szCs w:val="24"/>
        </w:rPr>
        <w:t xml:space="preserve">Geographic, ethnic, social, economic, or scientific impact of the Federal advisory committee’s </w:t>
      </w:r>
      <w:proofErr w:type="gramStart"/>
      <w:r w:rsidRPr="000C38B6">
        <w:rPr>
          <w:sz w:val="24"/>
          <w:szCs w:val="24"/>
        </w:rPr>
        <w:t>recommendations;</w:t>
      </w:r>
      <w:proofErr w:type="gramEnd"/>
    </w:p>
    <w:p w14:paraId="35CCAB00" w14:textId="77777777" w:rsidR="00C639F1" w:rsidRPr="000C38B6" w:rsidRDefault="00C639F1" w:rsidP="00C639F1">
      <w:pPr>
        <w:pStyle w:val="ListParagraph"/>
        <w:numPr>
          <w:ilvl w:val="0"/>
          <w:numId w:val="18"/>
        </w:numPr>
        <w:spacing w:before="160" w:line="260" w:lineRule="exact"/>
        <w:ind w:left="810" w:hanging="270"/>
        <w:contextualSpacing w:val="0"/>
        <w:rPr>
          <w:sz w:val="24"/>
          <w:szCs w:val="24"/>
        </w:rPr>
      </w:pPr>
      <w:r w:rsidRPr="000C38B6">
        <w:rPr>
          <w:sz w:val="24"/>
          <w:szCs w:val="24"/>
        </w:rPr>
        <w:t>Types of specific perspectives required, such as those of consumers, technical experts, the public at-large, academia, business, or other sectors (individuals with lived experience could be represented in any of these groups</w:t>
      </w:r>
      <w:proofErr w:type="gramStart"/>
      <w:r w:rsidRPr="000C38B6">
        <w:rPr>
          <w:sz w:val="24"/>
          <w:szCs w:val="24"/>
        </w:rPr>
        <w:t>);</w:t>
      </w:r>
      <w:proofErr w:type="gramEnd"/>
    </w:p>
    <w:p w14:paraId="07C8E1EA" w14:textId="77777777" w:rsidR="00C639F1" w:rsidRPr="000C38B6" w:rsidRDefault="00C639F1" w:rsidP="00C639F1">
      <w:pPr>
        <w:pStyle w:val="ListParagraph"/>
        <w:numPr>
          <w:ilvl w:val="0"/>
          <w:numId w:val="18"/>
        </w:numPr>
        <w:spacing w:before="160" w:line="260" w:lineRule="exact"/>
        <w:ind w:left="810" w:hanging="270"/>
        <w:contextualSpacing w:val="0"/>
        <w:rPr>
          <w:sz w:val="24"/>
          <w:szCs w:val="24"/>
        </w:rPr>
      </w:pPr>
      <w:r w:rsidRPr="000C38B6">
        <w:rPr>
          <w:sz w:val="24"/>
          <w:szCs w:val="24"/>
        </w:rPr>
        <w:t>The need to obtain divergent points of view on the issues before the Federal advisory committee; and</w:t>
      </w:r>
    </w:p>
    <w:p w14:paraId="408F895A" w14:textId="77777777" w:rsidR="00C639F1" w:rsidRPr="000C38B6" w:rsidRDefault="00C639F1" w:rsidP="00C639F1">
      <w:pPr>
        <w:pStyle w:val="ListParagraph"/>
        <w:numPr>
          <w:ilvl w:val="0"/>
          <w:numId w:val="18"/>
        </w:numPr>
        <w:spacing w:before="160" w:line="260" w:lineRule="exact"/>
        <w:ind w:left="810" w:hanging="270"/>
        <w:contextualSpacing w:val="0"/>
        <w:rPr>
          <w:sz w:val="24"/>
          <w:szCs w:val="24"/>
        </w:rPr>
      </w:pPr>
      <w:r w:rsidRPr="000C38B6">
        <w:rPr>
          <w:sz w:val="24"/>
          <w:szCs w:val="24"/>
        </w:rPr>
        <w:t xml:space="preserve">The relevance of State, local, or tribal governments to the development of the Federal advisory committee’s recommendations. </w:t>
      </w:r>
    </w:p>
    <w:p w14:paraId="5D951623" w14:textId="77777777" w:rsidR="00C639F1" w:rsidRPr="000C38B6" w:rsidRDefault="00C639F1" w:rsidP="00C639F1">
      <w:pPr>
        <w:spacing w:before="160" w:line="260" w:lineRule="exact"/>
        <w:rPr>
          <w:sz w:val="24"/>
          <w:szCs w:val="24"/>
        </w:rPr>
      </w:pPr>
      <w:r w:rsidRPr="000C38B6">
        <w:rPr>
          <w:sz w:val="24"/>
          <w:szCs w:val="24"/>
        </w:rPr>
        <w:t>Agencies are encouraged to include additional information beyond what is suggested in this guidance document as they deem appropriate, and to work with their Committee Management Officer to ensure that any applicable internal agency requirements are also followed.</w:t>
      </w:r>
    </w:p>
    <w:p w14:paraId="46043A71" w14:textId="4C92F485" w:rsidR="00C9622E" w:rsidRDefault="00506C08">
      <w:pPr>
        <w:spacing w:line="240" w:lineRule="auto"/>
        <w:ind w:right="-360"/>
        <w:rPr>
          <w:b/>
          <w:color w:val="0B5394"/>
          <w:sz w:val="28"/>
          <w:szCs w:val="28"/>
        </w:rPr>
      </w:pPr>
      <w:r>
        <w:rPr>
          <w:b/>
          <w:noProof/>
          <w:color w:val="0B5394"/>
          <w:sz w:val="28"/>
          <w:szCs w:val="28"/>
        </w:rPr>
        <mc:AlternateContent>
          <mc:Choice Requires="wps">
            <w:drawing>
              <wp:anchor distT="0" distB="0" distL="114300" distR="114300" simplePos="0" relativeHeight="251667456" behindDoc="0" locked="0" layoutInCell="1" allowOverlap="1" wp14:anchorId="3CBB6710" wp14:editId="5C3AB6D3">
                <wp:simplePos x="0" y="0"/>
                <wp:positionH relativeFrom="column">
                  <wp:posOffset>-6532</wp:posOffset>
                </wp:positionH>
                <wp:positionV relativeFrom="paragraph">
                  <wp:posOffset>176476</wp:posOffset>
                </wp:positionV>
                <wp:extent cx="6426925" cy="0"/>
                <wp:effectExtent l="38100" t="38100" r="69215" b="95250"/>
                <wp:wrapNone/>
                <wp:docPr id="634698696"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26925" cy="0"/>
                        </a:xfrm>
                        <a:prstGeom prst="line">
                          <a:avLst/>
                        </a:prstGeom>
                        <a:ln>
                          <a:prstDash val="lgDashDot"/>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8848EE6" id="Straight Connector 12" o:spid="_x0000_s1026" alt="&quot;&quot;"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pt,13.9pt" to="505.5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" strokecolor="black [3200]" strokeweight="2pt">
                <v:stroke dashstyle="longDashDot"/>
                <v:shadow on="t" color="black" opacity="24903f" origin=",.5" offset="0,.55556mm"/>
              </v:line>
            </w:pict>
          </mc:Fallback>
        </mc:AlternateContent>
      </w:r>
    </w:p>
    <w:p w14:paraId="0000002C" w14:textId="71DB47FC" w:rsidR="00026B11" w:rsidRPr="00C639F1" w:rsidRDefault="00C639F1" w:rsidP="00761EB2">
      <w:pPr>
        <w:pStyle w:val="Heading1"/>
        <w:spacing w:line="240" w:lineRule="auto"/>
        <w:rPr>
          <w:color w:val="999999"/>
        </w:rPr>
      </w:pPr>
      <w:r w:rsidRPr="00C639F1">
        <w:rPr>
          <w:color w:val="0B5394"/>
        </w:rPr>
        <w:t>The Membership Balance Plan</w:t>
      </w:r>
      <w:r w:rsidR="00491CA8" w:rsidRPr="00C639F1">
        <w:rPr>
          <w:color w:val="2F5496" w:themeColor="accent1" w:themeShade="BF"/>
        </w:rPr>
        <w:t>:</w:t>
      </w:r>
    </w:p>
    <w:p w14:paraId="776BBF70" w14:textId="77777777" w:rsidR="00C639F1" w:rsidRPr="000C38B6" w:rsidRDefault="00C639F1" w:rsidP="00C639F1">
      <w:pPr>
        <w:spacing w:before="160" w:line="280" w:lineRule="exact"/>
        <w:ind w:right="-86"/>
        <w:rPr>
          <w:sz w:val="24"/>
          <w:szCs w:val="24"/>
        </w:rPr>
      </w:pPr>
      <w:r w:rsidRPr="000C38B6">
        <w:rPr>
          <w:sz w:val="24"/>
          <w:szCs w:val="24"/>
        </w:rPr>
        <w:t xml:space="preserve">The MBP is a stand-alone document that describes the agency’s plan to attain </w:t>
      </w:r>
      <w:proofErr w:type="gramStart"/>
      <w:r w:rsidRPr="000C38B6">
        <w:rPr>
          <w:sz w:val="24"/>
          <w:szCs w:val="24"/>
        </w:rPr>
        <w:t>fairly balanced</w:t>
      </w:r>
      <w:proofErr w:type="gramEnd"/>
      <w:r w:rsidRPr="000C38B6">
        <w:rPr>
          <w:sz w:val="24"/>
          <w:szCs w:val="24"/>
        </w:rPr>
        <w:t xml:space="preserve"> membership (in terms </w:t>
      </w:r>
      <w:r w:rsidRPr="000C38B6">
        <w:rPr>
          <w:color w:val="444746"/>
          <w:sz w:val="24"/>
          <w:szCs w:val="24"/>
          <w:highlight w:val="white"/>
        </w:rPr>
        <w:t>of the points of view represented)</w:t>
      </w:r>
      <w:r w:rsidRPr="000C38B6">
        <w:rPr>
          <w:sz w:val="24"/>
          <w:szCs w:val="24"/>
        </w:rPr>
        <w:t xml:space="preserve"> as appropriate based on the nature and functions of the advisory committee. The MBP informs, and is consistent with, the advisory committee’s charter, especially the section on advisory committee membership and designation. The MBP is submitted, as applicable, as part of the documentation provided to the CMS during the consultation process described in 41 CFR § 102-3.60</w:t>
      </w:r>
      <w:r>
        <w:rPr>
          <w:sz w:val="24"/>
          <w:szCs w:val="24"/>
        </w:rPr>
        <w:t xml:space="preserve"> </w:t>
      </w:r>
      <w:r w:rsidRPr="000C38B6">
        <w:rPr>
          <w:sz w:val="24"/>
          <w:szCs w:val="24"/>
        </w:rPr>
        <w:t xml:space="preserve">and must be uploaded to the FACA database when the agency files the advisory committee charter with CMS per </w:t>
      </w:r>
      <w:r>
        <w:rPr>
          <w:sz w:val="24"/>
          <w:szCs w:val="24"/>
        </w:rPr>
        <w:t xml:space="preserve">41 CFR </w:t>
      </w:r>
      <w:r w:rsidRPr="000C38B6">
        <w:rPr>
          <w:sz w:val="24"/>
          <w:szCs w:val="24"/>
        </w:rPr>
        <w:t xml:space="preserve">§ 102-3.60(b)(3). </w:t>
      </w:r>
    </w:p>
    <w:p w14:paraId="0000002D" w14:textId="028085B4" w:rsidR="00026B11" w:rsidRDefault="00C639F1" w:rsidP="00C639F1">
      <w:pPr>
        <w:spacing w:before="120" w:after="120" w:line="260" w:lineRule="exact"/>
        <w:ind w:right="-360"/>
        <w:rPr>
          <w:sz w:val="24"/>
          <w:szCs w:val="24"/>
        </w:rPr>
      </w:pPr>
      <w:r w:rsidRPr="000C38B6">
        <w:rPr>
          <w:sz w:val="24"/>
          <w:szCs w:val="24"/>
        </w:rPr>
        <w:lastRenderedPageBreak/>
        <w:t xml:space="preserve">The agency prepares the plan for new discretionary advisory committee establishments and updates the plan whenever a discretionary advisory committee is renewed, reestablished, or merged to form a new advisory committee, or a discretionary advisory committee’s charter is amended. </w:t>
      </w:r>
    </w:p>
    <w:p w14:paraId="0000002E" w14:textId="2B73D800" w:rsidR="00026B11" w:rsidRPr="00C639F1" w:rsidRDefault="00C639F1" w:rsidP="003D0DA5">
      <w:pPr>
        <w:pStyle w:val="Heading1"/>
        <w:rPr>
          <w:color w:val="2F5496" w:themeColor="accent1" w:themeShade="BF"/>
        </w:rPr>
      </w:pPr>
      <w:r w:rsidRPr="00C639F1">
        <w:rPr>
          <w:color w:val="0B5394"/>
        </w:rPr>
        <w:t>Elements of a Membership Balance Plan</w:t>
      </w:r>
      <w:r w:rsidR="00491CA8" w:rsidRPr="00C639F1">
        <w:rPr>
          <w:color w:val="2F5496" w:themeColor="accent1" w:themeShade="BF"/>
        </w:rPr>
        <w:t>:</w:t>
      </w:r>
    </w:p>
    <w:p w14:paraId="72A4C25B" w14:textId="0A7C993B" w:rsidR="00C639F1" w:rsidRDefault="005631C8" w:rsidP="00C639F1">
      <w:pPr>
        <w:spacing w:before="240" w:after="240" w:line="280" w:lineRule="exact"/>
        <w:rPr>
          <w:sz w:val="24"/>
          <w:szCs w:val="24"/>
        </w:rPr>
      </w:pPr>
      <w:r>
        <w:rPr>
          <w:b/>
          <w:bCs/>
          <w:noProof/>
          <w:sz w:val="28"/>
          <w:szCs w:val="28"/>
        </w:rPr>
        <mc:AlternateContent>
          <mc:Choice Requires="wps">
            <w:drawing>
              <wp:anchor distT="0" distB="0" distL="114300" distR="114300" simplePos="0" relativeHeight="251688960" behindDoc="1" locked="0" layoutInCell="1" allowOverlap="1" wp14:anchorId="690F2F58" wp14:editId="368B1BAB">
                <wp:simplePos x="0" y="0"/>
                <wp:positionH relativeFrom="column">
                  <wp:posOffset>-47625</wp:posOffset>
                </wp:positionH>
                <wp:positionV relativeFrom="paragraph">
                  <wp:posOffset>36830</wp:posOffset>
                </wp:positionV>
                <wp:extent cx="6448425" cy="7572375"/>
                <wp:effectExtent l="57150" t="19050" r="66675" b="85725"/>
                <wp:wrapNone/>
                <wp:docPr id="1468438610"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48425" cy="7572375"/>
                        </a:xfrm>
                        <a:prstGeom prst="rect">
                          <a:avLst/>
                        </a:prstGeom>
                        <a:solidFill>
                          <a:schemeClr val="bg1">
                            <a:lumMod val="95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04EA2E" id="Rectangle 4" o:spid="_x0000_s1026" alt="&quot;&quot;" style="position:absolute;margin-left:-3.75pt;margin-top:2.9pt;width:507.75pt;height:596.25pt;z-index:-251627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" fillcolor="#f2f2f2 [3052]" stroked="f">
                <v:shadow on="t" color="black" opacity="22937f" origin=",.5" offset="0,.63889mm"/>
              </v:rect>
            </w:pict>
          </mc:Fallback>
        </mc:AlternateContent>
      </w:r>
      <w:r w:rsidR="00C639F1" w:rsidRPr="00CE6665">
        <w:rPr>
          <w:b/>
          <w:bCs/>
          <w:sz w:val="28"/>
          <w:szCs w:val="28"/>
        </w:rPr>
        <w:t xml:space="preserve">(1) Advisory Committee’s Official Designation. </w:t>
      </w:r>
      <w:r w:rsidR="00C639F1">
        <w:rPr>
          <w:sz w:val="24"/>
          <w:szCs w:val="24"/>
        </w:rPr>
        <w:t>Provide the advisory committee’s exact official name, consistent with the authority.</w:t>
      </w:r>
    </w:p>
    <w:p w14:paraId="35C1073C" w14:textId="77777777" w:rsidR="00C639F1" w:rsidRDefault="00C639F1" w:rsidP="00C639F1">
      <w:pPr>
        <w:spacing w:before="240" w:after="240" w:line="280" w:lineRule="exact"/>
        <w:rPr>
          <w:sz w:val="24"/>
          <w:szCs w:val="24"/>
        </w:rPr>
      </w:pPr>
      <w:r w:rsidRPr="00CE6665">
        <w:rPr>
          <w:b/>
          <w:bCs/>
          <w:sz w:val="28"/>
          <w:szCs w:val="28"/>
        </w:rPr>
        <w:t>(2) Authority.</w:t>
      </w:r>
      <w:r>
        <w:rPr>
          <w:sz w:val="24"/>
          <w:szCs w:val="24"/>
        </w:rPr>
        <w:t xml:space="preserve"> Provide the authority for the establishment, renewal, reestablishment, amendment or merger of the advisory committee (e.g., cite the statute, Executive Order or other Presidential directive, or note the advisory committee is agency authority) and reference the advisory committee is being established, renewed, reestablished, or merged (or a charter is being amended) in accordance with the provisions of FACA. </w:t>
      </w:r>
    </w:p>
    <w:p w14:paraId="493F4B1C" w14:textId="77777777" w:rsidR="00C639F1" w:rsidRDefault="00C639F1" w:rsidP="00C639F1">
      <w:pPr>
        <w:spacing w:before="240" w:after="240" w:line="280" w:lineRule="exact"/>
        <w:rPr>
          <w:sz w:val="24"/>
          <w:szCs w:val="24"/>
        </w:rPr>
      </w:pPr>
      <w:r w:rsidRPr="00CE6665">
        <w:rPr>
          <w:b/>
          <w:bCs/>
          <w:sz w:val="28"/>
          <w:szCs w:val="28"/>
        </w:rPr>
        <w:t>(3) Objectives and Scope of Activities.</w:t>
      </w:r>
      <w:r>
        <w:rPr>
          <w:sz w:val="24"/>
          <w:szCs w:val="24"/>
        </w:rPr>
        <w:t xml:space="preserve"> State the overall purpose and parameters of the advisory committee’s mission or charge and describe the committee’s goal(s).  </w:t>
      </w:r>
    </w:p>
    <w:p w14:paraId="1C31417F" w14:textId="77777777" w:rsidR="00C639F1" w:rsidRPr="00D546EF" w:rsidRDefault="00C639F1" w:rsidP="00C639F1">
      <w:pPr>
        <w:pStyle w:val="ListParagraph"/>
        <w:numPr>
          <w:ilvl w:val="0"/>
          <w:numId w:val="19"/>
        </w:numPr>
        <w:tabs>
          <w:tab w:val="left" w:pos="810"/>
        </w:tabs>
        <w:spacing w:before="240" w:after="240" w:line="280" w:lineRule="exact"/>
        <w:ind w:left="806"/>
        <w:contextualSpacing w:val="0"/>
        <w:rPr>
          <w:sz w:val="24"/>
          <w:szCs w:val="24"/>
        </w:rPr>
      </w:pPr>
      <w:r w:rsidRPr="00D546EF">
        <w:rPr>
          <w:sz w:val="24"/>
          <w:szCs w:val="24"/>
        </w:rPr>
        <w:t>If the advisory committee is agency authority, the objectives and scope will be a primary factor influencing the balance of the advisory committee.</w:t>
      </w:r>
    </w:p>
    <w:p w14:paraId="28AA7430" w14:textId="77777777" w:rsidR="00C639F1" w:rsidRPr="00D546EF" w:rsidRDefault="00C639F1" w:rsidP="00C639F1">
      <w:pPr>
        <w:pStyle w:val="ListParagraph"/>
        <w:numPr>
          <w:ilvl w:val="0"/>
          <w:numId w:val="19"/>
        </w:numPr>
        <w:tabs>
          <w:tab w:val="left" w:pos="810"/>
        </w:tabs>
        <w:spacing w:before="240" w:after="240" w:line="280" w:lineRule="exact"/>
        <w:ind w:left="806"/>
        <w:contextualSpacing w:val="0"/>
        <w:rPr>
          <w:sz w:val="24"/>
          <w:szCs w:val="24"/>
        </w:rPr>
      </w:pPr>
      <w:r w:rsidRPr="00D546EF">
        <w:rPr>
          <w:sz w:val="24"/>
          <w:szCs w:val="24"/>
        </w:rPr>
        <w:t xml:space="preserve">If the advisory committee is authorized or required by statute or created by Presidential directive, the membership composition of the advisory committee may already be fully or partly prescribed by the authorizing legislation, which may result in a full or partial predetermined balance of the members. </w:t>
      </w:r>
    </w:p>
    <w:p w14:paraId="2E38211E" w14:textId="77777777" w:rsidR="00C639F1" w:rsidRDefault="00C639F1" w:rsidP="00C639F1">
      <w:pPr>
        <w:spacing w:before="240" w:after="240" w:line="280" w:lineRule="exact"/>
        <w:rPr>
          <w:sz w:val="24"/>
          <w:szCs w:val="24"/>
        </w:rPr>
      </w:pPr>
      <w:r w:rsidRPr="00CE6665">
        <w:rPr>
          <w:b/>
          <w:bCs/>
          <w:sz w:val="28"/>
          <w:szCs w:val="28"/>
        </w:rPr>
        <w:t xml:space="preserve">(4) Points of View. </w:t>
      </w:r>
      <w:r>
        <w:rPr>
          <w:sz w:val="24"/>
          <w:szCs w:val="24"/>
        </w:rPr>
        <w:t xml:space="preserve">State the process the agency will use to identify the points of view necessary when establishing an advisory committee and when vacancies occur. </w:t>
      </w:r>
    </w:p>
    <w:p w14:paraId="3A5B40E8" w14:textId="77777777" w:rsidR="00C639F1" w:rsidRDefault="00C639F1" w:rsidP="00C639F1">
      <w:pPr>
        <w:numPr>
          <w:ilvl w:val="0"/>
          <w:numId w:val="20"/>
        </w:numPr>
        <w:spacing w:before="240" w:after="240" w:line="280" w:lineRule="exact"/>
        <w:rPr>
          <w:sz w:val="24"/>
          <w:szCs w:val="24"/>
        </w:rPr>
      </w:pPr>
      <w:r>
        <w:rPr>
          <w:sz w:val="24"/>
          <w:szCs w:val="24"/>
        </w:rPr>
        <w:t xml:space="preserve">Describe how this process will ensure representation of all points of view required for </w:t>
      </w:r>
      <w:proofErr w:type="gramStart"/>
      <w:r>
        <w:rPr>
          <w:sz w:val="24"/>
          <w:szCs w:val="24"/>
        </w:rPr>
        <w:t>fairly balanced</w:t>
      </w:r>
      <w:proofErr w:type="gramEnd"/>
      <w:r>
        <w:rPr>
          <w:sz w:val="24"/>
          <w:szCs w:val="24"/>
        </w:rPr>
        <w:t xml:space="preserve"> advisory committee membership based on the nature and functions of the advisory committee. This includes what groups and entities are potentially affected or interested in the advisory committees’ recommendations, and what type of professional or personal </w:t>
      </w:r>
      <w:r>
        <w:rPr>
          <w:b/>
          <w:sz w:val="24"/>
          <w:szCs w:val="24"/>
        </w:rPr>
        <w:t>qualifications</w:t>
      </w:r>
      <w:r>
        <w:rPr>
          <w:sz w:val="24"/>
          <w:szCs w:val="24"/>
        </w:rPr>
        <w:t xml:space="preserve"> are needed (including relevant lived experience)</w:t>
      </w:r>
      <w:r>
        <w:rPr>
          <w:color w:val="000000"/>
          <w:sz w:val="24"/>
          <w:szCs w:val="24"/>
        </w:rPr>
        <w:t xml:space="preserve">. </w:t>
      </w:r>
    </w:p>
    <w:p w14:paraId="59D5E949" w14:textId="77777777" w:rsidR="00C639F1" w:rsidRDefault="00C639F1" w:rsidP="00C639F1">
      <w:pPr>
        <w:numPr>
          <w:ilvl w:val="0"/>
          <w:numId w:val="20"/>
        </w:numPr>
        <w:spacing w:before="240" w:after="240" w:line="280" w:lineRule="exact"/>
        <w:rPr>
          <w:sz w:val="24"/>
          <w:szCs w:val="24"/>
        </w:rPr>
      </w:pPr>
      <w:r>
        <w:rPr>
          <w:color w:val="000000"/>
          <w:sz w:val="24"/>
          <w:szCs w:val="24"/>
        </w:rPr>
        <w:t>I</w:t>
      </w:r>
      <w:r>
        <w:rPr>
          <w:sz w:val="24"/>
          <w:szCs w:val="24"/>
        </w:rPr>
        <w:t xml:space="preserve">dentify </w:t>
      </w:r>
      <w:r>
        <w:rPr>
          <w:b/>
          <w:sz w:val="24"/>
          <w:szCs w:val="24"/>
        </w:rPr>
        <w:t>other balance factors</w:t>
      </w:r>
      <w:r>
        <w:rPr>
          <w:sz w:val="24"/>
          <w:szCs w:val="24"/>
        </w:rPr>
        <w:t xml:space="preserve">, as appropriate, that your agency identifies as important in achieving a </w:t>
      </w:r>
      <w:proofErr w:type="gramStart"/>
      <w:r>
        <w:rPr>
          <w:sz w:val="24"/>
          <w:szCs w:val="24"/>
        </w:rPr>
        <w:t>fairly balanced</w:t>
      </w:r>
      <w:proofErr w:type="gramEnd"/>
      <w:r>
        <w:rPr>
          <w:sz w:val="24"/>
          <w:szCs w:val="24"/>
        </w:rPr>
        <w:t xml:space="preserve"> advisory committee. These factors, which are not required by the Act, could include, the geographic location of candidates, importance of including regional, state, or local government expertise, diversity in the work sector (e.g., private industry, academia), etc.  </w:t>
      </w:r>
    </w:p>
    <w:p w14:paraId="7E6369A9" w14:textId="77777777" w:rsidR="00C639F1" w:rsidRDefault="00C639F1" w:rsidP="00C639F1">
      <w:pPr>
        <w:numPr>
          <w:ilvl w:val="0"/>
          <w:numId w:val="20"/>
        </w:numPr>
        <w:spacing w:before="240" w:after="240" w:line="280" w:lineRule="exact"/>
        <w:rPr>
          <w:sz w:val="24"/>
          <w:szCs w:val="24"/>
        </w:rPr>
      </w:pPr>
      <w:r>
        <w:rPr>
          <w:sz w:val="24"/>
          <w:szCs w:val="24"/>
        </w:rPr>
        <w:t xml:space="preserve">Describe the agency’s </w:t>
      </w:r>
      <w:r>
        <w:rPr>
          <w:b/>
          <w:sz w:val="24"/>
          <w:szCs w:val="24"/>
        </w:rPr>
        <w:t>conclusions</w:t>
      </w:r>
      <w:r>
        <w:rPr>
          <w:sz w:val="24"/>
          <w:szCs w:val="24"/>
        </w:rPr>
        <w:t xml:space="preserve"> regarding the points of view to promote </w:t>
      </w:r>
      <w:proofErr w:type="gramStart"/>
      <w:r>
        <w:rPr>
          <w:sz w:val="24"/>
          <w:szCs w:val="24"/>
        </w:rPr>
        <w:t>fairly balanced</w:t>
      </w:r>
      <w:proofErr w:type="gramEnd"/>
      <w:r>
        <w:rPr>
          <w:sz w:val="24"/>
          <w:szCs w:val="24"/>
        </w:rPr>
        <w:t xml:space="preserve"> advisory committee membership, which could also identify an anticipated relative distribution of candidates across the types of expertise/experience needed. </w:t>
      </w:r>
    </w:p>
    <w:p w14:paraId="46D977EC" w14:textId="77777777" w:rsidR="00C639F1" w:rsidRDefault="00C639F1" w:rsidP="00C639F1">
      <w:pPr>
        <w:spacing w:before="240" w:after="240" w:line="280" w:lineRule="exact"/>
        <w:rPr>
          <w:sz w:val="24"/>
          <w:szCs w:val="24"/>
        </w:rPr>
      </w:pPr>
      <w:r w:rsidRPr="00CE6665">
        <w:rPr>
          <w:sz w:val="24"/>
          <w:szCs w:val="24"/>
        </w:rPr>
        <w:t xml:space="preserve">Determining the points of view needed will affect the size of the advisory committee. </w:t>
      </w:r>
    </w:p>
    <w:p w14:paraId="6C8865E2" w14:textId="77777777" w:rsidR="00C639F1" w:rsidRDefault="00C639F1" w:rsidP="008C5E31">
      <w:pPr>
        <w:pBdr>
          <w:top w:val="nil"/>
          <w:left w:val="nil"/>
          <w:bottom w:val="nil"/>
          <w:right w:val="nil"/>
          <w:between w:val="nil"/>
        </w:pBdr>
        <w:spacing w:before="120" w:after="120" w:line="260" w:lineRule="exact"/>
        <w:ind w:right="-450"/>
        <w:rPr>
          <w:sz w:val="24"/>
          <w:szCs w:val="24"/>
        </w:rPr>
      </w:pPr>
    </w:p>
    <w:p w14:paraId="79E1F909" w14:textId="77777777" w:rsidR="005631C8" w:rsidRDefault="005631C8">
      <w:pPr>
        <w:rPr>
          <w:b/>
          <w:color w:val="0B5394"/>
          <w:sz w:val="40"/>
          <w:szCs w:val="40"/>
        </w:rPr>
      </w:pPr>
      <w:r>
        <w:rPr>
          <w:b/>
          <w:color w:val="0B5394"/>
          <w:sz w:val="40"/>
          <w:szCs w:val="40"/>
        </w:rPr>
        <w:br w:type="page"/>
      </w:r>
    </w:p>
    <w:p w14:paraId="5AE476B5" w14:textId="743A9BBE" w:rsidR="005631C8" w:rsidRDefault="005631C8">
      <w:pPr>
        <w:rPr>
          <w:b/>
          <w:color w:val="2F5496" w:themeColor="accent1" w:themeShade="BF"/>
          <w:sz w:val="32"/>
          <w:szCs w:val="32"/>
        </w:rPr>
      </w:pPr>
      <w:r>
        <w:rPr>
          <w:b/>
          <w:bCs/>
          <w:noProof/>
          <w:sz w:val="28"/>
          <w:szCs w:val="28"/>
        </w:rPr>
        <w:lastRenderedPageBreak/>
        <mc:AlternateContent>
          <mc:Choice Requires="wps">
            <w:drawing>
              <wp:anchor distT="0" distB="0" distL="114300" distR="114300" simplePos="0" relativeHeight="251691008" behindDoc="1" locked="0" layoutInCell="1" allowOverlap="1" wp14:anchorId="4B8BB68C" wp14:editId="11B151CE">
                <wp:simplePos x="0" y="0"/>
                <wp:positionH relativeFrom="page">
                  <wp:align>center</wp:align>
                </wp:positionH>
                <wp:positionV relativeFrom="paragraph">
                  <wp:posOffset>426085</wp:posOffset>
                </wp:positionV>
                <wp:extent cx="6448425" cy="8534400"/>
                <wp:effectExtent l="57150" t="19050" r="66675" b="76200"/>
                <wp:wrapNone/>
                <wp:docPr id="1227225415"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48425" cy="8534400"/>
                        </a:xfrm>
                        <a:prstGeom prst="rect">
                          <a:avLst/>
                        </a:prstGeom>
                        <a:solidFill>
                          <a:sysClr val="window" lastClr="FFFFFF">
                            <a:lumMod val="95000"/>
                          </a:sysClr>
                        </a:solidFill>
                        <a:ln w="9525" cap="flat" cmpd="sng" algn="ctr">
                          <a:no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4EA8A9" id="Rectangle 4" o:spid="_x0000_s1026" alt="&quot;&quot;" style="position:absolute;margin-left:0;margin-top:33.55pt;width:507.75pt;height:672pt;z-index:-251625472;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" fillcolor="#f2f2f2" stroked="f">
                <v:shadow on="t" color="black" opacity="22937f" origin=",.5" offset="0,.63889mm"/>
                <w10:wrap anchorx="page"/>
              </v:rect>
            </w:pict>
          </mc:Fallback>
        </mc:AlternateContent>
      </w:r>
      <w:r w:rsidRPr="00F669DE">
        <w:rPr>
          <w:b/>
          <w:color w:val="0B5394"/>
          <w:sz w:val="40"/>
          <w:szCs w:val="40"/>
        </w:rPr>
        <w:t>Elements of a Membership Balance Plan,</w:t>
      </w:r>
      <w:r>
        <w:rPr>
          <w:b/>
          <w:color w:val="0B5394"/>
          <w:sz w:val="32"/>
          <w:szCs w:val="32"/>
        </w:rPr>
        <w:t xml:space="preserve"> continued</w:t>
      </w:r>
      <w:r w:rsidRPr="001F462B">
        <w:rPr>
          <w:b/>
          <w:color w:val="2F5496" w:themeColor="accent1" w:themeShade="BF"/>
          <w:sz w:val="32"/>
          <w:szCs w:val="32"/>
        </w:rPr>
        <w:t>:</w:t>
      </w:r>
    </w:p>
    <w:p w14:paraId="5F80E307" w14:textId="7E17DB07" w:rsidR="005631C8" w:rsidRPr="00373981" w:rsidRDefault="005631C8" w:rsidP="005631C8">
      <w:pPr>
        <w:spacing w:before="240" w:after="240" w:line="280" w:lineRule="exact"/>
      </w:pPr>
      <w:r w:rsidRPr="00CE6665">
        <w:rPr>
          <w:sz w:val="24"/>
          <w:szCs w:val="24"/>
        </w:rPr>
        <w:t xml:space="preserve">Although too many or too few individuals representing an interest or area of expertise could result in the advisory committee not being </w:t>
      </w:r>
      <w:proofErr w:type="gramStart"/>
      <w:r w:rsidRPr="00CE6665">
        <w:rPr>
          <w:sz w:val="24"/>
          <w:szCs w:val="24"/>
        </w:rPr>
        <w:t>fairly balanced</w:t>
      </w:r>
      <w:proofErr w:type="gramEnd"/>
      <w:r w:rsidRPr="00CE6665">
        <w:rPr>
          <w:sz w:val="24"/>
          <w:szCs w:val="24"/>
        </w:rPr>
        <w:t xml:space="preserve"> in the viewpoints represented, numerical parity of viewpoints is not required. </w:t>
      </w:r>
      <w:bookmarkStart w:id="0" w:name="_Hlk177538232"/>
      <w:r w:rsidRPr="00CE6665">
        <w:rPr>
          <w:sz w:val="24"/>
          <w:szCs w:val="24"/>
        </w:rPr>
        <w:t xml:space="preserve">This section should also clearly state that </w:t>
      </w:r>
      <w:r w:rsidRPr="00CE6665">
        <w:rPr>
          <w:b/>
          <w:sz w:val="24"/>
          <w:szCs w:val="24"/>
        </w:rPr>
        <w:t xml:space="preserve">membership balance is not </w:t>
      </w:r>
      <w:proofErr w:type="gramStart"/>
      <w:r w:rsidRPr="00CE6665">
        <w:rPr>
          <w:b/>
          <w:sz w:val="24"/>
          <w:szCs w:val="24"/>
        </w:rPr>
        <w:t>static</w:t>
      </w:r>
      <w:proofErr w:type="gramEnd"/>
      <w:r w:rsidRPr="00CE6665">
        <w:rPr>
          <w:b/>
          <w:sz w:val="24"/>
          <w:szCs w:val="24"/>
        </w:rPr>
        <w:t xml:space="preserve"> </w:t>
      </w:r>
      <w:r w:rsidRPr="00CE6665">
        <w:rPr>
          <w:sz w:val="24"/>
          <w:szCs w:val="24"/>
        </w:rPr>
        <w:t>and the points of view needed may change depending on the work of the advisory committee.</w:t>
      </w:r>
      <w:bookmarkEnd w:id="0"/>
    </w:p>
    <w:p w14:paraId="6E927821" w14:textId="77777777" w:rsidR="005631C8" w:rsidRPr="00327942" w:rsidRDefault="005631C8" w:rsidP="005631C8">
      <w:pPr>
        <w:pBdr>
          <w:top w:val="nil"/>
          <w:left w:val="nil"/>
          <w:bottom w:val="nil"/>
          <w:right w:val="nil"/>
          <w:between w:val="nil"/>
        </w:pBdr>
        <w:spacing w:before="240" w:after="240" w:line="280" w:lineRule="exact"/>
        <w:rPr>
          <w:sz w:val="24"/>
          <w:szCs w:val="24"/>
        </w:rPr>
      </w:pPr>
      <w:r w:rsidRPr="00327942">
        <w:rPr>
          <w:b/>
          <w:bCs/>
          <w:color w:val="000000"/>
          <w:sz w:val="28"/>
          <w:szCs w:val="28"/>
        </w:rPr>
        <w:t xml:space="preserve">(5) Broad Outreach. </w:t>
      </w:r>
      <w:r w:rsidRPr="00327942">
        <w:rPr>
          <w:color w:val="000000"/>
          <w:sz w:val="24"/>
          <w:szCs w:val="24"/>
        </w:rPr>
        <w:t>Describe how the agency intends to conduct broad outreach to ensure that the call for nominees reaches the interested parties, underserved communities (as appropriate based on the function of the advisory committee), and stakeholder groups likely to possess the points of view identified in element #4. This section should</w:t>
      </w:r>
      <w:r w:rsidRPr="00327942">
        <w:rPr>
          <w:sz w:val="24"/>
          <w:szCs w:val="24"/>
        </w:rPr>
        <w:t xml:space="preserve"> identify the variety of methods/tools the agency will use to identify candidates with the necessary points of view (e.g., recommendations from current and former advisory committee members, publication of nomination notices, search of relevant professional associations, use of social media, etc.).</w:t>
      </w:r>
    </w:p>
    <w:p w14:paraId="04177C1C" w14:textId="77777777" w:rsidR="005631C8" w:rsidRPr="00327942" w:rsidRDefault="005631C8" w:rsidP="005631C8">
      <w:pPr>
        <w:pBdr>
          <w:top w:val="nil"/>
          <w:left w:val="nil"/>
          <w:bottom w:val="nil"/>
          <w:right w:val="nil"/>
          <w:between w:val="nil"/>
        </w:pBdr>
        <w:spacing w:before="240" w:after="240" w:line="280" w:lineRule="exact"/>
        <w:rPr>
          <w:sz w:val="24"/>
          <w:szCs w:val="24"/>
          <w:highlight w:val="white"/>
        </w:rPr>
      </w:pPr>
      <w:r w:rsidRPr="00327942">
        <w:rPr>
          <w:b/>
          <w:bCs/>
          <w:color w:val="000000"/>
          <w:sz w:val="28"/>
          <w:szCs w:val="28"/>
        </w:rPr>
        <w:t>(6) Candidate Selection.</w:t>
      </w:r>
      <w:r w:rsidRPr="00327942">
        <w:rPr>
          <w:b/>
          <w:bCs/>
          <w:sz w:val="28"/>
          <w:szCs w:val="28"/>
        </w:rPr>
        <w:t xml:space="preserve"> </w:t>
      </w:r>
      <w:r w:rsidRPr="00327942">
        <w:rPr>
          <w:sz w:val="24"/>
          <w:szCs w:val="24"/>
        </w:rPr>
        <w:t xml:space="preserve">Describe the selection criteria and the approach the agency will use to select candidates. Ensure the selected candidates represent the points of view identified in element #4, including individuals with relevant lived experiences, for a </w:t>
      </w:r>
      <w:proofErr w:type="gramStart"/>
      <w:r w:rsidRPr="00327942">
        <w:rPr>
          <w:sz w:val="24"/>
          <w:szCs w:val="24"/>
        </w:rPr>
        <w:t>fairly balanced</w:t>
      </w:r>
      <w:proofErr w:type="gramEnd"/>
      <w:r w:rsidRPr="00327942">
        <w:rPr>
          <w:sz w:val="24"/>
          <w:szCs w:val="24"/>
        </w:rPr>
        <w:t xml:space="preserve"> membership. This section should: </w:t>
      </w:r>
    </w:p>
    <w:p w14:paraId="1400E3DD" w14:textId="77777777" w:rsidR="005631C8" w:rsidRPr="00D546EF" w:rsidRDefault="005631C8" w:rsidP="005631C8">
      <w:pPr>
        <w:pStyle w:val="ListParagraph"/>
        <w:numPr>
          <w:ilvl w:val="0"/>
          <w:numId w:val="21"/>
        </w:numPr>
        <w:spacing w:before="240" w:after="240" w:line="280" w:lineRule="exact"/>
        <w:ind w:left="720"/>
        <w:contextualSpacing w:val="0"/>
        <w:rPr>
          <w:sz w:val="24"/>
          <w:szCs w:val="24"/>
        </w:rPr>
      </w:pPr>
      <w:r w:rsidRPr="00D546EF">
        <w:rPr>
          <w:sz w:val="24"/>
          <w:szCs w:val="24"/>
        </w:rPr>
        <w:t xml:space="preserve">Identify key persons (by position or function, not name) who will evaluate the results of the outreach and propose candidates for advisory committee membership (e.g., the Designated Federal Official, selection panel, etc.). </w:t>
      </w:r>
    </w:p>
    <w:p w14:paraId="013256C7" w14:textId="77777777" w:rsidR="005631C8" w:rsidRPr="00D546EF" w:rsidRDefault="005631C8" w:rsidP="005631C8">
      <w:pPr>
        <w:pStyle w:val="ListParagraph"/>
        <w:numPr>
          <w:ilvl w:val="0"/>
          <w:numId w:val="21"/>
        </w:numPr>
        <w:spacing w:before="240" w:after="240" w:line="280" w:lineRule="exact"/>
        <w:ind w:left="720"/>
        <w:contextualSpacing w:val="0"/>
        <w:rPr>
          <w:sz w:val="24"/>
          <w:szCs w:val="24"/>
        </w:rPr>
      </w:pPr>
      <w:r w:rsidRPr="00D546EF">
        <w:rPr>
          <w:sz w:val="24"/>
          <w:szCs w:val="24"/>
        </w:rPr>
        <w:t xml:space="preserve">Identify key agency staff (again, by position, not name) involved in affirming the proposed candidates results in </w:t>
      </w:r>
      <w:proofErr w:type="gramStart"/>
      <w:r w:rsidRPr="00D546EF">
        <w:rPr>
          <w:sz w:val="24"/>
          <w:szCs w:val="24"/>
        </w:rPr>
        <w:t>fairly balanced</w:t>
      </w:r>
      <w:proofErr w:type="gramEnd"/>
      <w:r w:rsidRPr="00D546EF">
        <w:rPr>
          <w:sz w:val="24"/>
          <w:szCs w:val="24"/>
        </w:rPr>
        <w:t xml:space="preserve"> membership and final selection on the advisory committee (e.g., agency FACA attorney, agency head, etc.). </w:t>
      </w:r>
    </w:p>
    <w:p w14:paraId="0337BA55" w14:textId="77777777" w:rsidR="005631C8" w:rsidRDefault="005631C8" w:rsidP="005631C8">
      <w:pPr>
        <w:pStyle w:val="ListParagraph"/>
        <w:numPr>
          <w:ilvl w:val="0"/>
          <w:numId w:val="21"/>
        </w:numPr>
        <w:spacing w:before="240" w:after="240" w:line="280" w:lineRule="exact"/>
        <w:ind w:left="720"/>
        <w:contextualSpacing w:val="0"/>
        <w:rPr>
          <w:color w:val="000000"/>
          <w:sz w:val="24"/>
          <w:szCs w:val="24"/>
        </w:rPr>
      </w:pPr>
      <w:r w:rsidRPr="00D546EF">
        <w:rPr>
          <w:color w:val="000000"/>
          <w:sz w:val="24"/>
          <w:szCs w:val="24"/>
        </w:rPr>
        <w:t>Discuss how a determination was made to appoint any individuals as Special Government Employee (SGE) or Representative</w:t>
      </w:r>
      <w:r w:rsidRPr="00D546EF">
        <w:rPr>
          <w:sz w:val="24"/>
          <w:szCs w:val="24"/>
        </w:rPr>
        <w:t xml:space="preserve"> </w:t>
      </w:r>
      <w:r w:rsidRPr="00D546EF">
        <w:rPr>
          <w:color w:val="000000"/>
          <w:sz w:val="24"/>
          <w:szCs w:val="24"/>
        </w:rPr>
        <w:t xml:space="preserve">members. </w:t>
      </w:r>
    </w:p>
    <w:p w14:paraId="0BF3FE8A" w14:textId="77777777" w:rsidR="005631C8" w:rsidRDefault="005631C8" w:rsidP="005631C8">
      <w:pPr>
        <w:pStyle w:val="ListParagraph"/>
        <w:numPr>
          <w:ilvl w:val="0"/>
          <w:numId w:val="21"/>
        </w:numPr>
        <w:spacing w:before="240" w:after="240" w:line="280" w:lineRule="exact"/>
        <w:ind w:left="720"/>
        <w:contextualSpacing w:val="0"/>
        <w:rPr>
          <w:color w:val="000000"/>
          <w:sz w:val="24"/>
          <w:szCs w:val="24"/>
        </w:rPr>
      </w:pPr>
      <w:r w:rsidRPr="00D546EF">
        <w:rPr>
          <w:color w:val="000000"/>
          <w:sz w:val="24"/>
          <w:szCs w:val="24"/>
        </w:rPr>
        <w:t xml:space="preserve">State the membership term limit(s) of advisory committee members, if applicable. Agency heads are encouraged to set member term limits, where possible. Term limits result in turnover of membership and new perspectives, which affects the balance of an advisory committee. </w:t>
      </w:r>
    </w:p>
    <w:p w14:paraId="2A78A0D4" w14:textId="77777777" w:rsidR="005631C8" w:rsidRPr="00D546EF" w:rsidRDefault="005631C8" w:rsidP="005631C8">
      <w:pPr>
        <w:pStyle w:val="ListParagraph"/>
        <w:numPr>
          <w:ilvl w:val="0"/>
          <w:numId w:val="21"/>
        </w:numPr>
        <w:spacing w:before="240" w:after="240" w:line="280" w:lineRule="exact"/>
        <w:ind w:left="720"/>
        <w:contextualSpacing w:val="0"/>
        <w:rPr>
          <w:color w:val="000000"/>
          <w:sz w:val="24"/>
          <w:szCs w:val="24"/>
        </w:rPr>
      </w:pPr>
      <w:r w:rsidRPr="00D546EF">
        <w:rPr>
          <w:color w:val="000000"/>
          <w:sz w:val="24"/>
          <w:szCs w:val="24"/>
        </w:rPr>
        <w:t xml:space="preserve">Describe how advisory committee vacancies, if any, will be handled by the agency (vacancies, and the length of time they remain unfilled, can impact the balance of the advisory committee). </w:t>
      </w:r>
    </w:p>
    <w:p w14:paraId="70BEA20D" w14:textId="77777777" w:rsidR="005631C8" w:rsidRPr="00327942" w:rsidRDefault="005631C8" w:rsidP="005631C8">
      <w:pPr>
        <w:spacing w:before="240" w:after="240" w:line="280" w:lineRule="exact"/>
        <w:rPr>
          <w:sz w:val="24"/>
          <w:szCs w:val="24"/>
        </w:rPr>
      </w:pPr>
      <w:r w:rsidRPr="00327942">
        <w:rPr>
          <w:b/>
          <w:bCs/>
          <w:sz w:val="28"/>
          <w:szCs w:val="28"/>
        </w:rPr>
        <w:t xml:space="preserve">(7) Subcommittee Balance. </w:t>
      </w:r>
      <w:r w:rsidRPr="00327942">
        <w:rPr>
          <w:sz w:val="24"/>
          <w:szCs w:val="24"/>
        </w:rPr>
        <w:t xml:space="preserve">Subcommittees subject to FACA should either state that the process for determining advisory committee member balance on subcommittees is the same as the process for the parent advisory committee or describe how it is different.  As a best practice, consideration should be given to having </w:t>
      </w:r>
      <w:proofErr w:type="gramStart"/>
      <w:r w:rsidRPr="00327942">
        <w:rPr>
          <w:sz w:val="24"/>
          <w:szCs w:val="24"/>
        </w:rPr>
        <w:t>fairly balanced</w:t>
      </w:r>
      <w:proofErr w:type="gramEnd"/>
      <w:r w:rsidRPr="00327942">
        <w:rPr>
          <w:sz w:val="24"/>
          <w:szCs w:val="24"/>
        </w:rPr>
        <w:t xml:space="preserve"> membership at the subcommittee level to better assure diversity of perspectives for work products being considered and deliberated on by the parent committee.</w:t>
      </w:r>
    </w:p>
    <w:p w14:paraId="5C5BC6EE" w14:textId="77777777" w:rsidR="005631C8" w:rsidRPr="0015405F" w:rsidRDefault="005631C8" w:rsidP="005631C8">
      <w:pPr>
        <w:spacing w:before="240" w:after="240" w:line="280" w:lineRule="exact"/>
        <w:rPr>
          <w:b/>
          <w:bCs/>
          <w:sz w:val="28"/>
          <w:szCs w:val="28"/>
        </w:rPr>
      </w:pPr>
      <w:r w:rsidRPr="00327942">
        <w:rPr>
          <w:b/>
          <w:bCs/>
          <w:sz w:val="28"/>
          <w:szCs w:val="28"/>
        </w:rPr>
        <w:t>(8) Date Prepared/Updated.</w:t>
      </w:r>
      <w:r w:rsidRPr="00327942">
        <w:rPr>
          <w:sz w:val="24"/>
          <w:szCs w:val="24"/>
        </w:rPr>
        <w:t xml:space="preserve"> Insert the date the MBP was initially prepared by the agency, along with the date(s) the MBP is updated. </w:t>
      </w:r>
    </w:p>
    <w:p w14:paraId="07FB0374" w14:textId="7ADC219F" w:rsidR="00883154" w:rsidRPr="00EF46E6" w:rsidRDefault="005631C8" w:rsidP="00EF46E6">
      <w:pPr>
        <w:pStyle w:val="Heading1"/>
        <w:rPr>
          <w:color w:val="224F78"/>
          <w:highlight w:val="white"/>
        </w:rPr>
      </w:pPr>
      <w:r w:rsidRPr="00EF46E6">
        <w:rPr>
          <w:noProof/>
          <w:color w:val="224F78"/>
        </w:rPr>
        <w:lastRenderedPageBreak/>
        <mc:AlternateContent>
          <mc:Choice Requires="wps">
            <w:drawing>
              <wp:anchor distT="0" distB="0" distL="114300" distR="114300" simplePos="0" relativeHeight="251684864" behindDoc="1" locked="0" layoutInCell="1" allowOverlap="1" wp14:anchorId="3E028801" wp14:editId="33B6259C">
                <wp:simplePos x="0" y="0"/>
                <wp:positionH relativeFrom="column">
                  <wp:posOffset>-28575</wp:posOffset>
                </wp:positionH>
                <wp:positionV relativeFrom="paragraph">
                  <wp:posOffset>19050</wp:posOffset>
                </wp:positionV>
                <wp:extent cx="6477000" cy="5154627"/>
                <wp:effectExtent l="57150" t="19050" r="57150" b="84455"/>
                <wp:wrapNone/>
                <wp:docPr id="568486392"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77000" cy="5154627"/>
                        </a:xfrm>
                        <a:prstGeom prst="rect">
                          <a:avLst/>
                        </a:prstGeom>
                        <a:solidFill>
                          <a:schemeClr val="accent5">
                            <a:lumMod val="20000"/>
                            <a:lumOff val="8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9A7EBB5" id="Rectangle 6" o:spid="_x0000_s1026" alt="&quot;&quot;" style="position:absolute;margin-left:-2.25pt;margin-top:1.5pt;width:510pt;height:405.9pt;z-index:-251631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" fillcolor="#deeaf6 [664]" stroked="f">
                <v:shadow on="t" color="black" opacity="22937f" origin=",.5" offset="0,.63889mm"/>
              </v:rect>
            </w:pict>
          </mc:Fallback>
        </mc:AlternateContent>
      </w:r>
      <w:r w:rsidR="00883154" w:rsidRPr="00EF46E6">
        <w:rPr>
          <w:color w:val="224F78"/>
        </w:rPr>
        <w:t>FACA References</w:t>
      </w:r>
    </w:p>
    <w:p w14:paraId="43C03EF9" w14:textId="352F83B2" w:rsidR="00883154" w:rsidRPr="00627A3C" w:rsidRDefault="00883154" w:rsidP="00883154">
      <w:pPr>
        <w:spacing w:before="120" w:after="240" w:line="260" w:lineRule="exact"/>
        <w:ind w:right="-360"/>
        <w:rPr>
          <w:sz w:val="24"/>
          <w:szCs w:val="24"/>
        </w:rPr>
      </w:pPr>
      <w:r w:rsidRPr="00627A3C">
        <w:rPr>
          <w:sz w:val="24"/>
          <w:szCs w:val="24"/>
        </w:rPr>
        <w:t>Current statutory requirements for a FAC charter are identified in</w:t>
      </w:r>
      <w:r w:rsidRPr="00627A3C">
        <w:rPr>
          <w:bCs/>
          <w:sz w:val="24"/>
          <w:szCs w:val="24"/>
        </w:rPr>
        <w:t xml:space="preserve"> 5 U.S.C. 1008(c)(2)</w:t>
      </w:r>
      <w:r w:rsidRPr="00627A3C">
        <w:rPr>
          <w:b/>
          <w:sz w:val="24"/>
          <w:szCs w:val="24"/>
        </w:rPr>
        <w:t xml:space="preserve"> </w:t>
      </w:r>
      <w:r w:rsidRPr="00627A3C">
        <w:rPr>
          <w:sz w:val="24"/>
          <w:szCs w:val="24"/>
        </w:rPr>
        <w:t>and are repeated in the FACA Final Rule under 41 CFR §§ 102-3.70, 102-3.75, and 102-3.80. For additional guidance see the following:</w:t>
      </w:r>
    </w:p>
    <w:p w14:paraId="413CBB63" w14:textId="77777777" w:rsidR="00883154" w:rsidRPr="00EF46E6" w:rsidRDefault="00ED2008" w:rsidP="00883154">
      <w:pPr>
        <w:pStyle w:val="ListParagraph"/>
        <w:numPr>
          <w:ilvl w:val="0"/>
          <w:numId w:val="4"/>
        </w:numPr>
        <w:spacing w:after="0" w:line="240" w:lineRule="auto"/>
        <w:ind w:left="547" w:right="432"/>
        <w:rPr>
          <w:rStyle w:val="Hyperlink"/>
          <w:color w:val="224F78"/>
          <w:sz w:val="24"/>
          <w:szCs w:val="24"/>
          <w:u w:val="none"/>
        </w:rPr>
      </w:pPr>
      <w:hyperlink r:id="rId9" w:history="1">
        <w:r w:rsidR="00883154" w:rsidRPr="00EF46E6">
          <w:rPr>
            <w:rStyle w:val="Hyperlink"/>
            <w:b/>
            <w:bCs/>
            <w:color w:val="224F78"/>
            <w:sz w:val="24"/>
            <w:szCs w:val="24"/>
          </w:rPr>
          <w:t>The Federal Advisory Committee Act (FACA</w:t>
        </w:r>
        <w:r w:rsidR="00883154" w:rsidRPr="00ED2008">
          <w:rPr>
            <w:rStyle w:val="Hyperlink"/>
            <w:b/>
            <w:bCs/>
            <w:color w:val="224F78"/>
            <w:sz w:val="24"/>
            <w:szCs w:val="24"/>
          </w:rPr>
          <w:t>)</w:t>
        </w:r>
      </w:hyperlink>
    </w:p>
    <w:p w14:paraId="70209725" w14:textId="7F546127" w:rsidR="00ED2008" w:rsidRPr="00ED2008" w:rsidRDefault="00ED2008" w:rsidP="00ED2008">
      <w:pPr>
        <w:pStyle w:val="ListParagraph"/>
        <w:spacing w:before="120" w:after="120" w:line="260" w:lineRule="exact"/>
        <w:ind w:left="900" w:right="27"/>
        <w:rPr>
          <w:b/>
          <w:bCs/>
          <w:sz w:val="24"/>
          <w:szCs w:val="24"/>
        </w:rPr>
      </w:pPr>
      <w:hyperlink r:id="rId10" w:history="1">
        <w:r w:rsidRPr="00ED2008">
          <w:rPr>
            <w:rStyle w:val="Hyperlink"/>
            <w:color w:val="auto"/>
            <w:sz w:val="24"/>
            <w:szCs w:val="24"/>
            <w:u w:val="none"/>
          </w:rPr>
          <w:t>https://uscode.house.gov/view.xhtml?path=/prelim@title5/part1/chapter10&amp;edition=prelim</w:t>
        </w:r>
      </w:hyperlink>
    </w:p>
    <w:p w14:paraId="220C4C5E" w14:textId="77777777" w:rsidR="00883154" w:rsidRPr="00627A3C" w:rsidRDefault="00ED2008" w:rsidP="00883154">
      <w:pPr>
        <w:numPr>
          <w:ilvl w:val="0"/>
          <w:numId w:val="4"/>
        </w:numPr>
        <w:tabs>
          <w:tab w:val="left" w:pos="540"/>
        </w:tabs>
        <w:spacing w:after="0" w:line="240" w:lineRule="auto"/>
        <w:ind w:left="187" w:right="432" w:firstLine="0"/>
        <w:rPr>
          <w:rStyle w:val="Hyperlink"/>
          <w:b/>
          <w:bCs/>
          <w:color w:val="auto"/>
          <w:sz w:val="24"/>
          <w:szCs w:val="24"/>
          <w:u w:val="none"/>
        </w:rPr>
      </w:pPr>
      <w:hyperlink r:id="rId11" w:history="1">
        <w:r w:rsidR="00883154" w:rsidRPr="00EF46E6">
          <w:rPr>
            <w:rStyle w:val="Hyperlink"/>
            <w:b/>
            <w:bCs/>
            <w:color w:val="224F78"/>
            <w:sz w:val="24"/>
            <w:szCs w:val="24"/>
          </w:rPr>
          <w:t>FACA Final Rule (41 CFR Part 102-3</w:t>
        </w:r>
        <w:r w:rsidR="00883154" w:rsidRPr="00ED2008">
          <w:rPr>
            <w:rStyle w:val="Hyperlink"/>
            <w:b/>
            <w:bCs/>
            <w:color w:val="002060"/>
            <w:sz w:val="24"/>
            <w:szCs w:val="24"/>
          </w:rPr>
          <w:t>)</w:t>
        </w:r>
      </w:hyperlink>
    </w:p>
    <w:p w14:paraId="4CDA6B18" w14:textId="77777777" w:rsidR="00883154" w:rsidRPr="00627A3C" w:rsidRDefault="00883154" w:rsidP="00883154">
      <w:pPr>
        <w:tabs>
          <w:tab w:val="left" w:pos="540"/>
        </w:tabs>
        <w:spacing w:after="240" w:line="240" w:lineRule="auto"/>
        <w:ind w:left="180" w:right="432" w:firstLine="720"/>
        <w:rPr>
          <w:sz w:val="24"/>
          <w:szCs w:val="24"/>
        </w:rPr>
      </w:pPr>
      <w:r w:rsidRPr="00627A3C">
        <w:rPr>
          <w:sz w:val="24"/>
          <w:szCs w:val="24"/>
        </w:rPr>
        <w:t>https://www.regulations.gov/document/GSA-FMR-2022-0015-0010</w:t>
      </w:r>
    </w:p>
    <w:p w14:paraId="724B535A" w14:textId="77777777" w:rsidR="00883154" w:rsidRPr="00EF46E6" w:rsidRDefault="00ED2008" w:rsidP="00883154">
      <w:pPr>
        <w:numPr>
          <w:ilvl w:val="0"/>
          <w:numId w:val="4"/>
        </w:numPr>
        <w:tabs>
          <w:tab w:val="left" w:pos="540"/>
        </w:tabs>
        <w:spacing w:after="0" w:line="240" w:lineRule="auto"/>
        <w:ind w:left="187" w:right="432" w:firstLine="0"/>
        <w:rPr>
          <w:rStyle w:val="Hyperlink"/>
          <w:b/>
          <w:bCs/>
          <w:color w:val="224F78"/>
          <w:sz w:val="24"/>
          <w:szCs w:val="24"/>
          <w:u w:val="none"/>
        </w:rPr>
      </w:pPr>
      <w:hyperlink r:id="rId12" w:history="1">
        <w:r w:rsidR="00883154" w:rsidRPr="00EF46E6">
          <w:rPr>
            <w:rStyle w:val="Hyperlink"/>
            <w:b/>
            <w:bCs/>
            <w:color w:val="224F78"/>
            <w:sz w:val="24"/>
            <w:szCs w:val="24"/>
          </w:rPr>
          <w:t>GSA FACA database</w:t>
        </w:r>
      </w:hyperlink>
    </w:p>
    <w:p w14:paraId="4EC9A984" w14:textId="77777777" w:rsidR="00883154" w:rsidRPr="00627A3C" w:rsidRDefault="00883154" w:rsidP="00883154">
      <w:pPr>
        <w:tabs>
          <w:tab w:val="left" w:pos="540"/>
        </w:tabs>
        <w:spacing w:after="240" w:line="240" w:lineRule="auto"/>
        <w:ind w:left="180" w:right="432" w:firstLine="720"/>
        <w:rPr>
          <w:color w:val="000000" w:themeColor="text1"/>
          <w:sz w:val="24"/>
          <w:szCs w:val="24"/>
        </w:rPr>
      </w:pPr>
      <w:r w:rsidRPr="00627A3C">
        <w:rPr>
          <w:color w:val="000000" w:themeColor="text1"/>
          <w:sz w:val="24"/>
          <w:szCs w:val="24"/>
        </w:rPr>
        <w:t>https://www.facadatabase.gov/FACA/s/</w:t>
      </w:r>
    </w:p>
    <w:p w14:paraId="297916AE" w14:textId="77777777" w:rsidR="00883154" w:rsidRPr="00EF46E6" w:rsidRDefault="00ED2008" w:rsidP="00883154">
      <w:pPr>
        <w:numPr>
          <w:ilvl w:val="0"/>
          <w:numId w:val="4"/>
        </w:numPr>
        <w:tabs>
          <w:tab w:val="left" w:pos="540"/>
        </w:tabs>
        <w:spacing w:after="0" w:line="240" w:lineRule="auto"/>
        <w:ind w:left="187" w:right="432" w:firstLine="0"/>
        <w:rPr>
          <w:rStyle w:val="Hyperlink"/>
          <w:b/>
          <w:bCs/>
          <w:color w:val="224F78"/>
          <w:sz w:val="24"/>
          <w:szCs w:val="24"/>
          <w:u w:val="none"/>
        </w:rPr>
      </w:pPr>
      <w:hyperlink r:id="rId13" w:history="1">
        <w:r w:rsidR="00883154" w:rsidRPr="00EF46E6">
          <w:rPr>
            <w:rStyle w:val="Hyperlink"/>
            <w:b/>
            <w:bCs/>
            <w:color w:val="224F78"/>
            <w:sz w:val="24"/>
            <w:szCs w:val="24"/>
          </w:rPr>
          <w:t>Committee Management Secretariat website</w:t>
        </w:r>
      </w:hyperlink>
    </w:p>
    <w:p w14:paraId="2567D001" w14:textId="77777777" w:rsidR="00883154" w:rsidRDefault="00883154" w:rsidP="002016E7">
      <w:pPr>
        <w:tabs>
          <w:tab w:val="left" w:pos="540"/>
        </w:tabs>
        <w:spacing w:after="240" w:line="240" w:lineRule="auto"/>
        <w:ind w:left="900" w:right="432"/>
        <w:rPr>
          <w:rStyle w:val="Hyperlink"/>
          <w:color w:val="000000" w:themeColor="text1"/>
          <w:sz w:val="24"/>
          <w:szCs w:val="24"/>
          <w:u w:val="none"/>
        </w:rPr>
      </w:pPr>
      <w:r w:rsidRPr="00627A3C">
        <w:rPr>
          <w:rStyle w:val="Hyperlink"/>
          <w:color w:val="000000" w:themeColor="text1"/>
          <w:sz w:val="24"/>
          <w:szCs w:val="24"/>
          <w:u w:val="none"/>
        </w:rPr>
        <w:t xml:space="preserve">https://www.gsa.gov/policy-regulations/policy/federal-advisory-committee-management  </w:t>
      </w:r>
    </w:p>
    <w:p w14:paraId="1AA37215" w14:textId="77777777" w:rsidR="00883154" w:rsidRPr="00627A3C" w:rsidRDefault="00883154" w:rsidP="00883154">
      <w:pPr>
        <w:tabs>
          <w:tab w:val="left" w:pos="540"/>
        </w:tabs>
        <w:spacing w:after="240" w:line="240" w:lineRule="auto"/>
        <w:ind w:left="810" w:right="432"/>
        <w:rPr>
          <w:rStyle w:val="Hyperlink"/>
          <w:color w:val="000000" w:themeColor="text1"/>
          <w:sz w:val="24"/>
          <w:szCs w:val="24"/>
          <w:u w:val="none"/>
        </w:rPr>
      </w:pPr>
    </w:p>
    <w:p w14:paraId="0B5C608E" w14:textId="77777777" w:rsidR="00883154" w:rsidRDefault="00883154" w:rsidP="00883154">
      <w:pPr>
        <w:tabs>
          <w:tab w:val="left" w:pos="540"/>
        </w:tabs>
        <w:spacing w:after="240" w:line="240" w:lineRule="auto"/>
        <w:ind w:left="900" w:right="432" w:hanging="720"/>
        <w:rPr>
          <w:sz w:val="24"/>
          <w:szCs w:val="24"/>
        </w:rPr>
      </w:pPr>
      <w:r w:rsidRPr="00B82872">
        <w:rPr>
          <w:noProof/>
          <w:sz w:val="24"/>
          <w:szCs w:val="24"/>
        </w:rPr>
        <w:drawing>
          <wp:inline distT="0" distB="0" distL="0" distR="0" wp14:anchorId="2B775480" wp14:editId="24CE57CE">
            <wp:extent cx="5767057" cy="153030"/>
            <wp:effectExtent l="0" t="0" r="0" b="0"/>
            <wp:docPr id="158795119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951199" name="Picture 1">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7057" cy="153030"/>
                    </a:xfrm>
                    <a:prstGeom prst="rect">
                      <a:avLst/>
                    </a:prstGeom>
                    <a:noFill/>
                    <a:ln>
                      <a:noFill/>
                    </a:ln>
                  </pic:spPr>
                </pic:pic>
              </a:graphicData>
            </a:graphic>
          </wp:inline>
        </w:drawing>
      </w:r>
    </w:p>
    <w:p w14:paraId="71F0E1A7" w14:textId="77777777" w:rsidR="00883154" w:rsidRDefault="00883154" w:rsidP="00883154">
      <w:pPr>
        <w:spacing w:before="120" w:after="120" w:line="260" w:lineRule="exact"/>
        <w:ind w:right="27"/>
        <w:rPr>
          <w:color w:val="0000FF"/>
          <w:sz w:val="24"/>
          <w:szCs w:val="24"/>
        </w:rPr>
      </w:pPr>
      <w:r w:rsidRPr="00D21966">
        <w:rPr>
          <w:sz w:val="24"/>
          <w:szCs w:val="24"/>
        </w:rPr>
        <w:t xml:space="preserve">Comments? Please send to </w:t>
      </w:r>
      <w:hyperlink r:id="rId15">
        <w:r w:rsidRPr="00EF46E6">
          <w:rPr>
            <w:b/>
            <w:bCs/>
            <w:color w:val="224F78"/>
            <w:sz w:val="24"/>
            <w:szCs w:val="24"/>
            <w:u w:val="single"/>
          </w:rPr>
          <w:t>CMS@GSA.gov</w:t>
        </w:r>
      </w:hyperlink>
      <w:r w:rsidRPr="00EF46E6">
        <w:rPr>
          <w:b/>
          <w:bCs/>
          <w:color w:val="224F78"/>
          <w:sz w:val="24"/>
          <w:szCs w:val="24"/>
        </w:rPr>
        <w:t>.</w:t>
      </w:r>
      <w:r w:rsidRPr="00D21966">
        <w:rPr>
          <w:color w:val="0000FF"/>
          <w:sz w:val="24"/>
          <w:szCs w:val="24"/>
        </w:rPr>
        <w:t xml:space="preserve">  </w:t>
      </w:r>
    </w:p>
    <w:p w14:paraId="410DBB1B" w14:textId="77777777" w:rsidR="00883154" w:rsidRDefault="00883154" w:rsidP="00883154">
      <w:pPr>
        <w:spacing w:before="120" w:after="120" w:line="260" w:lineRule="exact"/>
        <w:ind w:right="27"/>
        <w:rPr>
          <w:color w:val="0000FF"/>
          <w:sz w:val="24"/>
          <w:szCs w:val="24"/>
        </w:rPr>
      </w:pPr>
    </w:p>
    <w:p w14:paraId="46CFC2F7" w14:textId="074D85DA" w:rsidR="00883154" w:rsidRPr="00D21966" w:rsidRDefault="00883154" w:rsidP="00883154">
      <w:pPr>
        <w:spacing w:before="120" w:after="120" w:line="260" w:lineRule="exact"/>
        <w:ind w:right="27"/>
        <w:rPr>
          <w:sz w:val="24"/>
          <w:szCs w:val="24"/>
        </w:rPr>
      </w:pPr>
      <w:r w:rsidRPr="00D21966">
        <w:rPr>
          <w:sz w:val="24"/>
          <w:szCs w:val="24"/>
        </w:rPr>
        <w:t xml:space="preserve">Last updated by the GSA Committee Management Secretariat, Office of Government-wide Policy, on </w:t>
      </w:r>
      <w:r w:rsidR="008D4F45">
        <w:rPr>
          <w:sz w:val="24"/>
          <w:szCs w:val="24"/>
        </w:rPr>
        <w:t xml:space="preserve">October </w:t>
      </w:r>
      <w:r w:rsidR="005631C8">
        <w:rPr>
          <w:sz w:val="24"/>
          <w:szCs w:val="24"/>
        </w:rPr>
        <w:t>1</w:t>
      </w:r>
      <w:r w:rsidR="00ED2008">
        <w:rPr>
          <w:sz w:val="24"/>
          <w:szCs w:val="24"/>
        </w:rPr>
        <w:t>7</w:t>
      </w:r>
      <w:r w:rsidRPr="00DB5E0D">
        <w:rPr>
          <w:sz w:val="24"/>
          <w:szCs w:val="24"/>
        </w:rPr>
        <w:t>,</w:t>
      </w:r>
      <w:r w:rsidRPr="00D21966">
        <w:rPr>
          <w:sz w:val="24"/>
          <w:szCs w:val="24"/>
        </w:rPr>
        <w:t xml:space="preserve"> 2024.  </w:t>
      </w:r>
    </w:p>
    <w:p w14:paraId="093F9C28" w14:textId="77777777" w:rsidR="00883154" w:rsidRDefault="00883154" w:rsidP="00FC7BF4">
      <w:pPr>
        <w:spacing w:after="240" w:line="260" w:lineRule="exact"/>
        <w:ind w:right="-360"/>
        <w:rPr>
          <w:sz w:val="24"/>
          <w:szCs w:val="24"/>
        </w:rPr>
      </w:pPr>
    </w:p>
    <w:p w14:paraId="5316B345" w14:textId="77777777" w:rsidR="00883154" w:rsidRDefault="00883154" w:rsidP="00FC7BF4">
      <w:pPr>
        <w:spacing w:after="240" w:line="260" w:lineRule="exact"/>
        <w:ind w:right="-360"/>
        <w:rPr>
          <w:sz w:val="24"/>
          <w:szCs w:val="24"/>
        </w:rPr>
      </w:pPr>
    </w:p>
    <w:p w14:paraId="71AC9A51" w14:textId="77777777" w:rsidR="00883154" w:rsidRDefault="00883154" w:rsidP="00FC7BF4">
      <w:pPr>
        <w:spacing w:after="240" w:line="260" w:lineRule="exact"/>
        <w:ind w:right="-360"/>
        <w:rPr>
          <w:sz w:val="24"/>
          <w:szCs w:val="24"/>
        </w:rPr>
      </w:pPr>
    </w:p>
    <w:p w14:paraId="43C6669E" w14:textId="77777777" w:rsidR="00883154" w:rsidRDefault="00883154" w:rsidP="00FC7BF4">
      <w:pPr>
        <w:spacing w:after="240" w:line="260" w:lineRule="exact"/>
        <w:ind w:right="-360"/>
        <w:rPr>
          <w:sz w:val="24"/>
          <w:szCs w:val="24"/>
        </w:rPr>
      </w:pPr>
    </w:p>
    <w:p w14:paraId="66D52948" w14:textId="77777777" w:rsidR="00883154" w:rsidRDefault="00883154" w:rsidP="00FC7BF4">
      <w:pPr>
        <w:spacing w:after="240" w:line="260" w:lineRule="exact"/>
        <w:ind w:right="-360"/>
        <w:rPr>
          <w:sz w:val="24"/>
          <w:szCs w:val="24"/>
        </w:rPr>
        <w:sectPr w:rsidR="00883154" w:rsidSect="00883154">
          <w:type w:val="continuous"/>
          <w:pgSz w:w="12240" w:h="15840"/>
          <w:pgMar w:top="720" w:right="1440" w:bottom="540" w:left="1080" w:header="720" w:footer="178" w:gutter="0"/>
          <w:cols w:space="720"/>
        </w:sectPr>
      </w:pPr>
    </w:p>
    <w:p w14:paraId="696469E9" w14:textId="62451C22" w:rsidR="00883154" w:rsidRDefault="00883154" w:rsidP="00FC7BF4">
      <w:pPr>
        <w:spacing w:after="240" w:line="260" w:lineRule="exact"/>
        <w:ind w:right="-360"/>
        <w:rPr>
          <w:sz w:val="24"/>
          <w:szCs w:val="24"/>
        </w:rPr>
      </w:pPr>
    </w:p>
    <w:p w14:paraId="50B848FC" w14:textId="77777777" w:rsidR="00883154" w:rsidRDefault="00883154" w:rsidP="00FC7BF4">
      <w:pPr>
        <w:spacing w:after="240" w:line="260" w:lineRule="exact"/>
        <w:ind w:right="-360"/>
        <w:rPr>
          <w:sz w:val="24"/>
          <w:szCs w:val="24"/>
        </w:rPr>
      </w:pPr>
    </w:p>
    <w:p w14:paraId="28DB53A7" w14:textId="77777777" w:rsidR="00883154" w:rsidRDefault="00883154" w:rsidP="00FC7BF4">
      <w:pPr>
        <w:spacing w:after="240" w:line="260" w:lineRule="exact"/>
        <w:ind w:right="-360"/>
        <w:rPr>
          <w:sz w:val="24"/>
          <w:szCs w:val="24"/>
        </w:rPr>
      </w:pPr>
    </w:p>
    <w:p w14:paraId="3D9D8E29" w14:textId="77777777" w:rsidR="00883154" w:rsidRDefault="00883154" w:rsidP="00FC7BF4">
      <w:pPr>
        <w:spacing w:after="240" w:line="260" w:lineRule="exact"/>
        <w:ind w:right="-360"/>
        <w:rPr>
          <w:sz w:val="24"/>
          <w:szCs w:val="24"/>
        </w:rPr>
      </w:pPr>
    </w:p>
    <w:p w14:paraId="38365600" w14:textId="77777777" w:rsidR="00883154" w:rsidRDefault="00883154" w:rsidP="00FC7BF4">
      <w:pPr>
        <w:spacing w:after="240" w:line="260" w:lineRule="exact"/>
        <w:ind w:right="-360"/>
        <w:rPr>
          <w:sz w:val="24"/>
          <w:szCs w:val="24"/>
          <w:highlight w:val="white"/>
        </w:rPr>
      </w:pPr>
    </w:p>
    <w:p w14:paraId="0000006D" w14:textId="7635220D" w:rsidR="00026B11" w:rsidRPr="00FE6C8B" w:rsidRDefault="00026B11" w:rsidP="00FC7BF4">
      <w:pPr>
        <w:spacing w:before="120" w:after="120" w:line="260" w:lineRule="exact"/>
        <w:ind w:right="-360"/>
        <w:rPr>
          <w:sz w:val="20"/>
          <w:szCs w:val="20"/>
        </w:rPr>
      </w:pPr>
    </w:p>
    <w:sectPr w:rsidR="00026B11" w:rsidRPr="00FE6C8B" w:rsidSect="00877DE6">
      <w:type w:val="continuous"/>
      <w:pgSz w:w="12240" w:h="15840"/>
      <w:pgMar w:top="720" w:right="1440" w:bottom="540" w:left="1080" w:header="720" w:footer="1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D6F16A" w14:textId="77777777" w:rsidR="002B2191" w:rsidRDefault="002B2191" w:rsidP="0003214E">
      <w:pPr>
        <w:spacing w:after="0" w:line="240" w:lineRule="auto"/>
      </w:pPr>
      <w:r>
        <w:separator/>
      </w:r>
    </w:p>
  </w:endnote>
  <w:endnote w:type="continuationSeparator" w:id="0">
    <w:p w14:paraId="6AB5C8F0" w14:textId="77777777" w:rsidR="002B2191" w:rsidRDefault="002B2191" w:rsidP="00032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7D4B6E84-100C-4CB9-A75A-A28268FAD2C0}"/>
    <w:embedBold r:id="rId2" w:fontKey="{F952E04B-81F4-4E12-97B2-367F74C929CD}"/>
    <w:embedItalic r:id="rId3" w:fontKey="{82E73721-5235-4DB7-9B21-23180430D66A}"/>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6C86E7D6-D064-480D-9F77-6B5CD6168C9C}"/>
    <w:embedItalic r:id="rId5" w:fontKey="{80FBA0FD-F7D6-4B42-8276-80BB27F0A2C4}"/>
  </w:font>
  <w:font w:name="Cambria">
    <w:panose1 w:val="02040503050406030204"/>
    <w:charset w:val="00"/>
    <w:family w:val="roman"/>
    <w:pitch w:val="variable"/>
    <w:sig w:usb0="E00006FF" w:usb1="420024FF" w:usb2="02000000" w:usb3="00000000" w:csb0="0000019F" w:csb1="00000000"/>
    <w:embedRegular r:id="rId6" w:fontKey="{9DD8C77D-B013-4082-A5D3-383C05252E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0575880"/>
      <w:docPartObj>
        <w:docPartGallery w:val="Page Numbers (Bottom of Page)"/>
        <w:docPartUnique/>
      </w:docPartObj>
    </w:sdtPr>
    <w:sdtEndPr>
      <w:rPr>
        <w:color w:val="224F78"/>
      </w:rPr>
    </w:sdtEndPr>
    <w:sdtContent>
      <w:sdt>
        <w:sdtPr>
          <w:id w:val="1728636285"/>
          <w:docPartObj>
            <w:docPartGallery w:val="Page Numbers (Top of Page)"/>
            <w:docPartUnique/>
          </w:docPartObj>
        </w:sdtPr>
        <w:sdtEndPr>
          <w:rPr>
            <w:color w:val="224F78"/>
          </w:rPr>
        </w:sdtEndPr>
        <w:sdtContent>
          <w:p w14:paraId="4F3DD393" w14:textId="33F94243" w:rsidR="00EF46E6" w:rsidRPr="008D4F45" w:rsidRDefault="00EF46E6" w:rsidP="008E74B5">
            <w:pPr>
              <w:pStyle w:val="Footer"/>
              <w:spacing w:before="240"/>
              <w:jc w:val="center"/>
              <w:rPr>
                <w:color w:val="224F78"/>
              </w:rPr>
            </w:pPr>
            <w:r w:rsidRPr="008D4F45">
              <w:rPr>
                <w:color w:val="224F78"/>
                <w:sz w:val="28"/>
                <w:szCs w:val="28"/>
              </w:rPr>
              <w:t xml:space="preserve">Page </w:t>
            </w:r>
            <w:r w:rsidRPr="008D4F45">
              <w:rPr>
                <w:b/>
                <w:bCs/>
                <w:color w:val="224F78"/>
                <w:sz w:val="28"/>
                <w:szCs w:val="28"/>
              </w:rPr>
              <w:fldChar w:fldCharType="begin"/>
            </w:r>
            <w:r w:rsidRPr="008D4F45">
              <w:rPr>
                <w:b/>
                <w:bCs/>
                <w:color w:val="224F78"/>
                <w:sz w:val="28"/>
                <w:szCs w:val="28"/>
              </w:rPr>
              <w:instrText xml:space="preserve"> PAGE </w:instrText>
            </w:r>
            <w:r w:rsidRPr="008D4F45">
              <w:rPr>
                <w:b/>
                <w:bCs/>
                <w:color w:val="224F78"/>
                <w:sz w:val="28"/>
                <w:szCs w:val="28"/>
              </w:rPr>
              <w:fldChar w:fldCharType="separate"/>
            </w:r>
            <w:r w:rsidRPr="008D4F45">
              <w:rPr>
                <w:b/>
                <w:bCs/>
                <w:noProof/>
                <w:color w:val="224F78"/>
                <w:sz w:val="28"/>
                <w:szCs w:val="28"/>
              </w:rPr>
              <w:t>2</w:t>
            </w:r>
            <w:r w:rsidRPr="008D4F45">
              <w:rPr>
                <w:b/>
                <w:bCs/>
                <w:color w:val="224F78"/>
                <w:sz w:val="28"/>
                <w:szCs w:val="28"/>
              </w:rPr>
              <w:fldChar w:fldCharType="end"/>
            </w:r>
            <w:r w:rsidRPr="008D4F45">
              <w:rPr>
                <w:color w:val="224F78"/>
                <w:sz w:val="28"/>
                <w:szCs w:val="28"/>
              </w:rPr>
              <w:t xml:space="preserve"> of </w:t>
            </w:r>
            <w:r w:rsidRPr="008D4F45">
              <w:rPr>
                <w:b/>
                <w:bCs/>
                <w:color w:val="224F78"/>
                <w:sz w:val="28"/>
                <w:szCs w:val="28"/>
              </w:rPr>
              <w:fldChar w:fldCharType="begin"/>
            </w:r>
            <w:r w:rsidRPr="008D4F45">
              <w:rPr>
                <w:b/>
                <w:bCs/>
                <w:color w:val="224F78"/>
                <w:sz w:val="28"/>
                <w:szCs w:val="28"/>
              </w:rPr>
              <w:instrText xml:space="preserve"> NUMPAGES  </w:instrText>
            </w:r>
            <w:r w:rsidRPr="008D4F45">
              <w:rPr>
                <w:b/>
                <w:bCs/>
                <w:color w:val="224F78"/>
                <w:sz w:val="28"/>
                <w:szCs w:val="28"/>
              </w:rPr>
              <w:fldChar w:fldCharType="separate"/>
            </w:r>
            <w:r w:rsidRPr="008D4F45">
              <w:rPr>
                <w:b/>
                <w:bCs/>
                <w:noProof/>
                <w:color w:val="224F78"/>
                <w:sz w:val="28"/>
                <w:szCs w:val="28"/>
              </w:rPr>
              <w:t>2</w:t>
            </w:r>
            <w:r w:rsidRPr="008D4F45">
              <w:rPr>
                <w:b/>
                <w:bCs/>
                <w:color w:val="224F78"/>
                <w:sz w:val="28"/>
                <w:szCs w:val="28"/>
              </w:rPr>
              <w:fldChar w:fldCharType="end"/>
            </w:r>
          </w:p>
        </w:sdtContent>
      </w:sdt>
    </w:sdtContent>
  </w:sdt>
  <w:p w14:paraId="2BC2519A" w14:textId="0E6EB319" w:rsidR="0003214E" w:rsidRDefault="000321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12589C" w14:textId="77777777" w:rsidR="002B2191" w:rsidRDefault="002B2191" w:rsidP="0003214E">
      <w:pPr>
        <w:spacing w:after="0" w:line="240" w:lineRule="auto"/>
      </w:pPr>
      <w:r>
        <w:separator/>
      </w:r>
    </w:p>
  </w:footnote>
  <w:footnote w:type="continuationSeparator" w:id="0">
    <w:p w14:paraId="321C080E" w14:textId="77777777" w:rsidR="002B2191" w:rsidRDefault="002B2191" w:rsidP="000321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70B37"/>
    <w:multiLevelType w:val="hybridMultilevel"/>
    <w:tmpl w:val="D084E89C"/>
    <w:lvl w:ilvl="0" w:tplc="0409000D">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99B37AD"/>
    <w:multiLevelType w:val="multilevel"/>
    <w:tmpl w:val="39A009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A6A014E"/>
    <w:multiLevelType w:val="multilevel"/>
    <w:tmpl w:val="8FAC5668"/>
    <w:lvl w:ilvl="0">
      <w:start w:val="1"/>
      <w:numFmt w:val="decimal"/>
      <w:lvlText w:val="%1."/>
      <w:lvlJc w:val="left"/>
      <w:pPr>
        <w:ind w:left="720" w:hanging="360"/>
      </w:pPr>
      <w:rPr>
        <w:b/>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A52257"/>
    <w:multiLevelType w:val="hybridMultilevel"/>
    <w:tmpl w:val="38AA3B70"/>
    <w:lvl w:ilvl="0" w:tplc="AD68EABC">
      <w:start w:val="1"/>
      <w:numFmt w:val="bullet"/>
      <w:lvlText w:val=""/>
      <w:lvlJc w:val="left"/>
      <w:pPr>
        <w:ind w:left="1080" w:hanging="360"/>
      </w:pPr>
      <w:rPr>
        <w:rFonts w:ascii="Symbol" w:hAnsi="Symbol" w:hint="default"/>
        <w:sz w:val="32"/>
        <w:szCs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777EF1"/>
    <w:multiLevelType w:val="hybridMultilevel"/>
    <w:tmpl w:val="8E2A776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3A52D17"/>
    <w:multiLevelType w:val="hybridMultilevel"/>
    <w:tmpl w:val="FCA2768E"/>
    <w:lvl w:ilvl="0" w:tplc="6D780138">
      <w:start w:val="1"/>
      <w:numFmt w:val="bullet"/>
      <w:lvlText w:val=""/>
      <w:lvlJc w:val="left"/>
      <w:pPr>
        <w:ind w:left="1440" w:hanging="360"/>
      </w:pPr>
      <w:rPr>
        <w:rFonts w:asciiTheme="majorHAnsi" w:hAnsiTheme="majorHAnsi" w:cstheme="majorHAns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8D2CB5"/>
    <w:multiLevelType w:val="multilevel"/>
    <w:tmpl w:val="5F547066"/>
    <w:lvl w:ilvl="0">
      <w:start w:val="7"/>
      <w:numFmt w:val="decimal"/>
      <w:lvlText w:val="%1."/>
      <w:lvlJc w:val="left"/>
      <w:pPr>
        <w:ind w:left="720" w:hanging="360"/>
      </w:pPr>
      <w:rPr>
        <w:rFonts w:ascii="Arial" w:eastAsia="Arial" w:hAnsi="Arial" w:cs="Arial"/>
        <w:b/>
        <w:sz w:val="26"/>
        <w:szCs w:val="26"/>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FF636AB"/>
    <w:multiLevelType w:val="multilevel"/>
    <w:tmpl w:val="121068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0B7235C"/>
    <w:multiLevelType w:val="multilevel"/>
    <w:tmpl w:val="77404B62"/>
    <w:lvl w:ilvl="0">
      <w:start w:val="1"/>
      <w:numFmt w:val="upperLetter"/>
      <w:lvlText w:val="%1."/>
      <w:lvlJc w:val="left"/>
      <w:pPr>
        <w:ind w:left="990" w:hanging="360"/>
      </w:pPr>
      <w:rPr>
        <w:u w:val="none"/>
      </w:rPr>
    </w:lvl>
    <w:lvl w:ilvl="1">
      <w:start w:val="1"/>
      <w:numFmt w:val="lowerLetter"/>
      <w:lvlText w:val="%2."/>
      <w:lvlJc w:val="left"/>
      <w:pPr>
        <w:ind w:left="1710" w:hanging="360"/>
      </w:pPr>
      <w:rPr>
        <w:u w:val="none"/>
      </w:rPr>
    </w:lvl>
    <w:lvl w:ilvl="2">
      <w:start w:val="1"/>
      <w:numFmt w:val="lowerRoman"/>
      <w:lvlText w:val="%3."/>
      <w:lvlJc w:val="right"/>
      <w:pPr>
        <w:ind w:left="2430" w:hanging="360"/>
      </w:pPr>
      <w:rPr>
        <w:u w:val="none"/>
      </w:rPr>
    </w:lvl>
    <w:lvl w:ilvl="3">
      <w:start w:val="1"/>
      <w:numFmt w:val="decimal"/>
      <w:lvlText w:val="%4."/>
      <w:lvlJc w:val="left"/>
      <w:pPr>
        <w:ind w:left="3150" w:hanging="360"/>
      </w:pPr>
      <w:rPr>
        <w:u w:val="none"/>
      </w:rPr>
    </w:lvl>
    <w:lvl w:ilvl="4">
      <w:start w:val="1"/>
      <w:numFmt w:val="lowerLetter"/>
      <w:lvlText w:val="%5."/>
      <w:lvlJc w:val="left"/>
      <w:pPr>
        <w:ind w:left="3870" w:hanging="360"/>
      </w:pPr>
      <w:rPr>
        <w:u w:val="none"/>
      </w:rPr>
    </w:lvl>
    <w:lvl w:ilvl="5">
      <w:start w:val="1"/>
      <w:numFmt w:val="lowerRoman"/>
      <w:lvlText w:val="%6."/>
      <w:lvlJc w:val="right"/>
      <w:pPr>
        <w:ind w:left="4590" w:hanging="360"/>
      </w:pPr>
      <w:rPr>
        <w:u w:val="none"/>
      </w:rPr>
    </w:lvl>
    <w:lvl w:ilvl="6">
      <w:start w:val="1"/>
      <w:numFmt w:val="decimal"/>
      <w:lvlText w:val="%7."/>
      <w:lvlJc w:val="left"/>
      <w:pPr>
        <w:ind w:left="5310" w:hanging="360"/>
      </w:pPr>
      <w:rPr>
        <w:u w:val="none"/>
      </w:rPr>
    </w:lvl>
    <w:lvl w:ilvl="7">
      <w:start w:val="1"/>
      <w:numFmt w:val="lowerLetter"/>
      <w:lvlText w:val="%8."/>
      <w:lvlJc w:val="left"/>
      <w:pPr>
        <w:ind w:left="6030" w:hanging="360"/>
      </w:pPr>
      <w:rPr>
        <w:u w:val="none"/>
      </w:rPr>
    </w:lvl>
    <w:lvl w:ilvl="8">
      <w:start w:val="1"/>
      <w:numFmt w:val="lowerRoman"/>
      <w:lvlText w:val="%9."/>
      <w:lvlJc w:val="right"/>
      <w:pPr>
        <w:ind w:left="6750" w:hanging="360"/>
      </w:pPr>
      <w:rPr>
        <w:u w:val="none"/>
      </w:rPr>
    </w:lvl>
  </w:abstractNum>
  <w:abstractNum w:abstractNumId="9" w15:restartNumberingAfterBreak="0">
    <w:nsid w:val="34864780"/>
    <w:multiLevelType w:val="hybridMultilevel"/>
    <w:tmpl w:val="3E90AD06"/>
    <w:lvl w:ilvl="0" w:tplc="6D780138">
      <w:start w:val="1"/>
      <w:numFmt w:val="bullet"/>
      <w:lvlText w:val=""/>
      <w:lvlJc w:val="left"/>
      <w:pPr>
        <w:ind w:left="1440" w:hanging="360"/>
      </w:pPr>
      <w:rPr>
        <w:rFonts w:asciiTheme="majorHAnsi" w:hAnsiTheme="majorHAnsi" w:cstheme="majorHAnsi"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5567379"/>
    <w:multiLevelType w:val="multilevel"/>
    <w:tmpl w:val="8E2CA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D110391"/>
    <w:multiLevelType w:val="hybridMultilevel"/>
    <w:tmpl w:val="ED0ECB2E"/>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2" w15:restartNumberingAfterBreak="0">
    <w:nsid w:val="40A83934"/>
    <w:multiLevelType w:val="multilevel"/>
    <w:tmpl w:val="FBE41F9E"/>
    <w:lvl w:ilvl="0">
      <w:start w:val="1"/>
      <w:numFmt w:val="bullet"/>
      <w:lvlText w:val="●"/>
      <w:lvlJc w:val="left"/>
      <w:pPr>
        <w:ind w:left="720" w:hanging="360"/>
      </w:pPr>
      <w:rPr>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5DB15C8"/>
    <w:multiLevelType w:val="hybridMultilevel"/>
    <w:tmpl w:val="85B281D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C59391F"/>
    <w:multiLevelType w:val="multilevel"/>
    <w:tmpl w:val="0C22CB64"/>
    <w:lvl w:ilvl="0">
      <w:start w:val="1"/>
      <w:numFmt w:val="bullet"/>
      <w:lvlText w:val="➠"/>
      <w:lvlJc w:val="left"/>
      <w:pPr>
        <w:ind w:left="720" w:hanging="360"/>
      </w:pPr>
      <w:rPr>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F20493D"/>
    <w:multiLevelType w:val="hybridMultilevel"/>
    <w:tmpl w:val="CBCE1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C76FE6"/>
    <w:multiLevelType w:val="multilevel"/>
    <w:tmpl w:val="26FC1F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75034607"/>
    <w:multiLevelType w:val="hybridMultilevel"/>
    <w:tmpl w:val="5C0222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4216FE"/>
    <w:multiLevelType w:val="multilevel"/>
    <w:tmpl w:val="DBD06D84"/>
    <w:lvl w:ilvl="0">
      <w:start w:val="1"/>
      <w:numFmt w:val="bullet"/>
      <w:lvlText w:val="●"/>
      <w:lvlJc w:val="left"/>
      <w:pPr>
        <w:ind w:left="720" w:hanging="360"/>
      </w:pPr>
      <w:rPr>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B680B2E"/>
    <w:multiLevelType w:val="multilevel"/>
    <w:tmpl w:val="0A329FC2"/>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EAB2AE4"/>
    <w:multiLevelType w:val="hybridMultilevel"/>
    <w:tmpl w:val="0C64C1C6"/>
    <w:lvl w:ilvl="0" w:tplc="763070F8">
      <w:start w:val="1"/>
      <w:numFmt w:val="decimal"/>
      <w:lvlText w:val="%1."/>
      <w:lvlJc w:val="left"/>
      <w:pPr>
        <w:ind w:left="720" w:hanging="360"/>
      </w:pPr>
      <w:rPr>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6027646">
    <w:abstractNumId w:val="6"/>
  </w:num>
  <w:num w:numId="2" w16cid:durableId="955016187">
    <w:abstractNumId w:val="2"/>
  </w:num>
  <w:num w:numId="3" w16cid:durableId="1810632289">
    <w:abstractNumId w:val="10"/>
  </w:num>
  <w:num w:numId="4" w16cid:durableId="711536700">
    <w:abstractNumId w:val="19"/>
  </w:num>
  <w:num w:numId="5" w16cid:durableId="463812793">
    <w:abstractNumId w:val="7"/>
  </w:num>
  <w:num w:numId="6" w16cid:durableId="1051542538">
    <w:abstractNumId w:val="12"/>
  </w:num>
  <w:num w:numId="7" w16cid:durableId="1909261118">
    <w:abstractNumId w:val="14"/>
  </w:num>
  <w:num w:numId="8" w16cid:durableId="687369342">
    <w:abstractNumId w:val="18"/>
  </w:num>
  <w:num w:numId="9" w16cid:durableId="871455838">
    <w:abstractNumId w:val="8"/>
  </w:num>
  <w:num w:numId="10" w16cid:durableId="258222027">
    <w:abstractNumId w:val="1"/>
  </w:num>
  <w:num w:numId="11" w16cid:durableId="1242788392">
    <w:abstractNumId w:val="9"/>
  </w:num>
  <w:num w:numId="12" w16cid:durableId="1846439403">
    <w:abstractNumId w:val="5"/>
  </w:num>
  <w:num w:numId="13" w16cid:durableId="1223907762">
    <w:abstractNumId w:val="15"/>
  </w:num>
  <w:num w:numId="14" w16cid:durableId="1909343430">
    <w:abstractNumId w:val="3"/>
  </w:num>
  <w:num w:numId="15" w16cid:durableId="1928729834">
    <w:abstractNumId w:val="0"/>
  </w:num>
  <w:num w:numId="16" w16cid:durableId="2123257739">
    <w:abstractNumId w:val="11"/>
  </w:num>
  <w:num w:numId="17" w16cid:durableId="913707889">
    <w:abstractNumId w:val="20"/>
  </w:num>
  <w:num w:numId="18" w16cid:durableId="159934114">
    <w:abstractNumId w:val="4"/>
  </w:num>
  <w:num w:numId="19" w16cid:durableId="944192060">
    <w:abstractNumId w:val="13"/>
  </w:num>
  <w:num w:numId="20" w16cid:durableId="468321647">
    <w:abstractNumId w:val="16"/>
  </w:num>
  <w:num w:numId="21" w16cid:durableId="19161581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TrueTypeFonts/>
  <w:proofState w:spelling="clean" w:grammar="clean"/>
  <w:defaultTabStop w:val="720"/>
  <w:characterSpacingControl w:val="doNotCompress"/>
  <w:hdrShapeDefaults>
    <o:shapedefaults v:ext="edit" spidmax="2050">
      <o:colormenu v:ext="edit" fillcolor="none [32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B11"/>
    <w:rsid w:val="00026B11"/>
    <w:rsid w:val="0003214E"/>
    <w:rsid w:val="000902C6"/>
    <w:rsid w:val="000F15F6"/>
    <w:rsid w:val="000F2596"/>
    <w:rsid w:val="00170256"/>
    <w:rsid w:val="00177B0F"/>
    <w:rsid w:val="00192725"/>
    <w:rsid w:val="001B148A"/>
    <w:rsid w:val="001F08AD"/>
    <w:rsid w:val="002016E7"/>
    <w:rsid w:val="00214790"/>
    <w:rsid w:val="00251836"/>
    <w:rsid w:val="00256105"/>
    <w:rsid w:val="002B2191"/>
    <w:rsid w:val="002D4BBA"/>
    <w:rsid w:val="003721DC"/>
    <w:rsid w:val="003B4923"/>
    <w:rsid w:val="003B70DC"/>
    <w:rsid w:val="003D0DA5"/>
    <w:rsid w:val="00444033"/>
    <w:rsid w:val="00491CA8"/>
    <w:rsid w:val="00497AE7"/>
    <w:rsid w:val="004B6FE9"/>
    <w:rsid w:val="00506C08"/>
    <w:rsid w:val="00517F7A"/>
    <w:rsid w:val="00547D80"/>
    <w:rsid w:val="005631C8"/>
    <w:rsid w:val="00597CC8"/>
    <w:rsid w:val="005C51A0"/>
    <w:rsid w:val="005D1266"/>
    <w:rsid w:val="005D7B6F"/>
    <w:rsid w:val="005E472F"/>
    <w:rsid w:val="005E56A3"/>
    <w:rsid w:val="00627A3C"/>
    <w:rsid w:val="00640E69"/>
    <w:rsid w:val="00653F46"/>
    <w:rsid w:val="00671CCF"/>
    <w:rsid w:val="00680D38"/>
    <w:rsid w:val="00691B4D"/>
    <w:rsid w:val="006D0479"/>
    <w:rsid w:val="006D2BCC"/>
    <w:rsid w:val="00741886"/>
    <w:rsid w:val="007548C1"/>
    <w:rsid w:val="00761EB2"/>
    <w:rsid w:val="00790E3C"/>
    <w:rsid w:val="0079611E"/>
    <w:rsid w:val="007A3817"/>
    <w:rsid w:val="007B06E4"/>
    <w:rsid w:val="007C300E"/>
    <w:rsid w:val="007C6BA2"/>
    <w:rsid w:val="0084044F"/>
    <w:rsid w:val="008504A4"/>
    <w:rsid w:val="008716BC"/>
    <w:rsid w:val="008741FF"/>
    <w:rsid w:val="00877DE6"/>
    <w:rsid w:val="00883154"/>
    <w:rsid w:val="008C5E31"/>
    <w:rsid w:val="008D4F45"/>
    <w:rsid w:val="008D5EAB"/>
    <w:rsid w:val="008E74B5"/>
    <w:rsid w:val="0091309E"/>
    <w:rsid w:val="00922295"/>
    <w:rsid w:val="009A00CC"/>
    <w:rsid w:val="009B51B8"/>
    <w:rsid w:val="009B65DD"/>
    <w:rsid w:val="009E0E3F"/>
    <w:rsid w:val="009E50E1"/>
    <w:rsid w:val="00AB3E21"/>
    <w:rsid w:val="00B26E81"/>
    <w:rsid w:val="00B43F26"/>
    <w:rsid w:val="00B814E1"/>
    <w:rsid w:val="00B82872"/>
    <w:rsid w:val="00BD3F03"/>
    <w:rsid w:val="00BE4513"/>
    <w:rsid w:val="00BF44C2"/>
    <w:rsid w:val="00C14DD2"/>
    <w:rsid w:val="00C239DA"/>
    <w:rsid w:val="00C4360A"/>
    <w:rsid w:val="00C51751"/>
    <w:rsid w:val="00C639F1"/>
    <w:rsid w:val="00C72F47"/>
    <w:rsid w:val="00C872A7"/>
    <w:rsid w:val="00C9347A"/>
    <w:rsid w:val="00C9622E"/>
    <w:rsid w:val="00C9678A"/>
    <w:rsid w:val="00CC2416"/>
    <w:rsid w:val="00D21966"/>
    <w:rsid w:val="00D35E90"/>
    <w:rsid w:val="00D41002"/>
    <w:rsid w:val="00D9243D"/>
    <w:rsid w:val="00DB5E0D"/>
    <w:rsid w:val="00DE5A7D"/>
    <w:rsid w:val="00DE651F"/>
    <w:rsid w:val="00DF1B1A"/>
    <w:rsid w:val="00DF720B"/>
    <w:rsid w:val="00E2153D"/>
    <w:rsid w:val="00EA7BC2"/>
    <w:rsid w:val="00EB1197"/>
    <w:rsid w:val="00EC365F"/>
    <w:rsid w:val="00ED2008"/>
    <w:rsid w:val="00EF46E6"/>
    <w:rsid w:val="00F057BB"/>
    <w:rsid w:val="00F15552"/>
    <w:rsid w:val="00F17FC4"/>
    <w:rsid w:val="00F97320"/>
    <w:rsid w:val="00FC7BF4"/>
    <w:rsid w:val="00FE6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2]"/>
    </o:shapedefaults>
    <o:shapelayout v:ext="edit">
      <o:idmap v:ext="edit" data="2"/>
    </o:shapelayout>
  </w:shapeDefaults>
  <w:decimalSymbol w:val="."/>
  <w:listSeparator w:val=","/>
  <w14:docId w14:val="3DD05E7B"/>
  <w15:docId w15:val="{52D38AC7-624B-48C3-8211-C3E063607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0321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214E"/>
  </w:style>
  <w:style w:type="paragraph" w:styleId="Footer">
    <w:name w:val="footer"/>
    <w:basedOn w:val="Normal"/>
    <w:link w:val="FooterChar"/>
    <w:uiPriority w:val="99"/>
    <w:unhideWhenUsed/>
    <w:rsid w:val="000321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14E"/>
  </w:style>
  <w:style w:type="character" w:styleId="PlaceholderText">
    <w:name w:val="Placeholder Text"/>
    <w:basedOn w:val="DefaultParagraphFont"/>
    <w:uiPriority w:val="99"/>
    <w:semiHidden/>
    <w:rsid w:val="00C9622E"/>
    <w:rPr>
      <w:color w:val="808080"/>
    </w:rPr>
  </w:style>
  <w:style w:type="paragraph" w:styleId="ListParagraph">
    <w:name w:val="List Paragraph"/>
    <w:basedOn w:val="Normal"/>
    <w:uiPriority w:val="34"/>
    <w:qFormat/>
    <w:rsid w:val="008716BC"/>
    <w:pPr>
      <w:ind w:left="720"/>
      <w:contextualSpacing/>
    </w:pPr>
  </w:style>
  <w:style w:type="character" w:styleId="Hyperlink">
    <w:name w:val="Hyperlink"/>
    <w:basedOn w:val="DefaultParagraphFont"/>
    <w:uiPriority w:val="99"/>
    <w:unhideWhenUsed/>
    <w:rsid w:val="008C5E31"/>
    <w:rPr>
      <w:color w:val="0563C1" w:themeColor="hyperlink"/>
      <w:u w:val="single"/>
    </w:rPr>
  </w:style>
  <w:style w:type="paragraph" w:styleId="Revision">
    <w:name w:val="Revision"/>
    <w:hidden/>
    <w:uiPriority w:val="99"/>
    <w:semiHidden/>
    <w:rsid w:val="005D1266"/>
    <w:pPr>
      <w:spacing w:after="0" w:line="240" w:lineRule="auto"/>
    </w:pPr>
  </w:style>
  <w:style w:type="paragraph" w:styleId="CommentSubject">
    <w:name w:val="annotation subject"/>
    <w:basedOn w:val="CommentText"/>
    <w:next w:val="CommentText"/>
    <w:link w:val="CommentSubjectChar"/>
    <w:uiPriority w:val="99"/>
    <w:semiHidden/>
    <w:unhideWhenUsed/>
    <w:rsid w:val="008D5EAB"/>
    <w:rPr>
      <w:b/>
      <w:bCs/>
    </w:rPr>
  </w:style>
  <w:style w:type="character" w:customStyle="1" w:styleId="CommentSubjectChar">
    <w:name w:val="Comment Subject Char"/>
    <w:basedOn w:val="CommentTextChar"/>
    <w:link w:val="CommentSubject"/>
    <w:uiPriority w:val="99"/>
    <w:semiHidden/>
    <w:rsid w:val="008D5EAB"/>
    <w:rPr>
      <w:b/>
      <w:bCs/>
      <w:sz w:val="20"/>
      <w:szCs w:val="20"/>
    </w:rPr>
  </w:style>
  <w:style w:type="character" w:styleId="UnresolvedMention">
    <w:name w:val="Unresolved Mention"/>
    <w:basedOn w:val="DefaultParagraphFont"/>
    <w:uiPriority w:val="99"/>
    <w:semiHidden/>
    <w:unhideWhenUsed/>
    <w:rsid w:val="00ED20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0345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sa.gov/policy-regulations/policy/federal-advisory-committee-manage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adatabase.gov/FACA/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gulations.gov/document/GSA-FMR-2022-0015-0010" TargetMode="External"/><Relationship Id="rId5" Type="http://schemas.openxmlformats.org/officeDocument/2006/relationships/webSettings" Target="webSettings.xml"/><Relationship Id="rId15" Type="http://schemas.openxmlformats.org/officeDocument/2006/relationships/hyperlink" Target="mailto:cms@gsa.gov" TargetMode="External"/><Relationship Id="rId10" Type="http://schemas.openxmlformats.org/officeDocument/2006/relationships/hyperlink" Target="https://uscode.house.gov/view.xhtml?path=/prelim@title5/part1/chapter10&amp;edition=prelim" TargetMode="External"/><Relationship Id="rId4" Type="http://schemas.openxmlformats.org/officeDocument/2006/relationships/settings" Target="settings.xml"/><Relationship Id="rId9" Type="http://schemas.openxmlformats.org/officeDocument/2006/relationships/hyperlink" Target="https://www.govinfo.gov/link/uscode/5/1001" TargetMode="External"/><Relationship Id="rId14" Type="http://schemas.openxmlformats.org/officeDocument/2006/relationships/image" Target="media/image1.e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8B789-4668-4E6C-9A37-F6175952D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1810</Words>
  <Characters>10321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General Services Administration</Company>
  <LinksUpToDate>false</LinksUpToDate>
  <CharactersWithSpaces>12107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TaraTDunlopJackson</dc:creator>
  <cp:keywords/>
  <dc:description/>
  <cp:lastModifiedBy>TaraTDunlopJackson</cp:lastModifiedBy>
  <cp:revision>2</cp:revision>
  <dcterms:created xsi:type="dcterms:W3CDTF">2024-10-17T17:43:00Z</dcterms:created>
  <dcterms:modified xsi:type="dcterms:W3CDTF">2024-10-17T17:43:00Z</dcterms:modified>
</cp:coreProperties>
</file>