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i84x2tpsg7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m54i5hrf8djj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Sample of an OASIS+ Blanket Purchase Agreement (BPA)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color w:val="ff0000"/>
          <w:sz w:val="34"/>
          <w:szCs w:val="34"/>
        </w:rPr>
      </w:pPr>
      <w:bookmarkStart w:colFirst="0" w:colLast="0" w:name="_jc1gl6i6ta9j" w:id="2"/>
      <w:bookmarkEnd w:id="2"/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DISCLAIMER:  This is an example/illustrative purpose and the information contained herein is not binding.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p1atsflh7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BPA IDENTIFICATION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BPA Number:</w:t>
      </w:r>
      <w:r w:rsidDel="00000000" w:rsidR="00000000" w:rsidRPr="00000000">
        <w:rPr>
          <w:rtl w:val="0"/>
        </w:rPr>
        <w:t xml:space="preserve"> [To be assigned]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Parent Contract:</w:t>
      </w:r>
      <w:r w:rsidDel="00000000" w:rsidR="00000000" w:rsidRPr="00000000">
        <w:rPr>
          <w:rtl w:val="0"/>
        </w:rPr>
        <w:t xml:space="preserve"> OASIS+ Contract No. [XXXX]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OASIS+ Domain:</w:t>
      </w:r>
      <w:r w:rsidDel="00000000" w:rsidR="00000000" w:rsidRPr="00000000">
        <w:rPr>
          <w:rtl w:val="0"/>
        </w:rPr>
        <w:t xml:space="preserve"> [e.g., Management &amp; Advisory, Technical &amp; Engineering, R&amp;D]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BPA Type:</w:t>
      </w:r>
      <w:r w:rsidDel="00000000" w:rsidR="00000000" w:rsidRPr="00000000">
        <w:rPr>
          <w:rtl w:val="0"/>
        </w:rPr>
        <w:t xml:space="preserve"> Multiple-Award BPA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Estimated </w:t>
      </w:r>
      <w:r w:rsidDel="00000000" w:rsidR="00000000" w:rsidRPr="00000000">
        <w:rPr>
          <w:b w:val="1"/>
          <w:bCs w:val="1"/>
          <w:rtl w:val="0"/>
        </w:rPr>
        <w:t xml:space="preserve">Value:</w:t>
      </w:r>
      <w:r w:rsidDel="00000000" w:rsidR="00000000" w:rsidRPr="00000000">
        <w:rPr>
          <w:rtl w:val="0"/>
        </w:rPr>
        <w:t xml:space="preserve"> $[XXX,XXX,XXX] (Not a guarantee)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Ordering Period:</w:t>
      </w:r>
      <w:r w:rsidDel="00000000" w:rsidR="00000000" w:rsidRPr="00000000">
        <w:rPr>
          <w:rtl w:val="0"/>
        </w:rPr>
        <w:t xml:space="preserve"> [e.g., Five (5) years from BPA award]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60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 funds are obligated at the BPA level.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bu92vnxbo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BPA is established to provide </w:t>
      </w:r>
      <w:r w:rsidDel="00000000" w:rsidR="00000000" w:rsidRPr="00000000">
        <w:rPr>
          <w:rtl w:val="0"/>
        </w:rPr>
        <w:t xml:space="preserve">integrated, complex professional services</w:t>
      </w:r>
      <w:r w:rsidDel="00000000" w:rsidR="00000000" w:rsidRPr="00000000">
        <w:rPr>
          <w:rtl w:val="0"/>
        </w:rPr>
        <w:t xml:space="preserve"> in support of mission requirements that: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[Insert scope here]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BPA streamlines future task-order competitions while preserving </w:t>
      </w:r>
      <w:r w:rsidDel="00000000" w:rsidR="00000000" w:rsidRPr="00000000">
        <w:rPr>
          <w:rtl w:val="0"/>
        </w:rPr>
        <w:t xml:space="preserve">fair opportunity</w:t>
      </w:r>
      <w:r w:rsidDel="00000000" w:rsidR="00000000" w:rsidRPr="00000000">
        <w:rPr>
          <w:rtl w:val="0"/>
        </w:rPr>
        <w:t xml:space="preserve"> among BPA holders.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8t6v9mjs54q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RELATIONSHIP TO OASIS+ CONTRACT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BPA is </w:t>
      </w:r>
      <w:r w:rsidDel="00000000" w:rsidR="00000000" w:rsidRPr="00000000">
        <w:rPr>
          <w:rtl w:val="0"/>
        </w:rPr>
        <w:t xml:space="preserve">an agreement that should comply with the terms and conditions of the OASIS+ contract. It is established under the authority of the OASIS+ contract and FAR Part 16 ([Insert Agency Name] Class Deviation RFO-2025-16) ordering procedures.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terms and conditions of the parent OASIS+ contract apply.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o63ohiigst8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SCOPE OF BPA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sivfcy6gfj6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General Scope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al1k39xax7n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BPA is established to provide integrated, complex professional services in support of mission requirements that: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[Insert scope here]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BPA streamlines future task-order competitions while preserving fair opportunity among BPA holders.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tl w:val="0"/>
        </w:rPr>
        <w:t xml:space="preserve">Services may require </w:t>
      </w:r>
      <w:r w:rsidDel="00000000" w:rsidR="00000000" w:rsidRPr="00000000">
        <w:rPr>
          <w:rtl w:val="0"/>
        </w:rPr>
        <w:t xml:space="preserve">interdisciplinary teams</w:t>
      </w:r>
      <w:r w:rsidDel="00000000" w:rsidR="00000000" w:rsidRPr="00000000">
        <w:rPr>
          <w:rtl w:val="0"/>
        </w:rPr>
        <w:t xml:space="preserve">, advanced certifications, and subject-matter expertise across multiple OASIS+ domains.]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36skcv4r3p6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Out-of-Scope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upplies or services outside the scope of the parent OASIS+ contract are not authorized under this BPA.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ulf1e241pfi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BPA HOLDERS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OASIS+ contractors are BPA holders:</w:t>
      </w:r>
    </w:p>
    <w:tbl>
      <w:tblPr>
        <w:tblStyle w:val="Table1"/>
        <w:tblW w:w="13620.0" w:type="dxa"/>
        <w:jc w:val="left"/>
        <w:tblInd w:w="-1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30"/>
        <w:gridCol w:w="4785"/>
        <w:gridCol w:w="5205"/>
        <w:tblGridChange w:id="0">
          <w:tblGrid>
            <w:gridCol w:w="3630"/>
            <w:gridCol w:w="4785"/>
            <w:gridCol w:w="52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OASIS+ Contract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[Contractor A]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[Contractor B]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[Contractor C]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[XXXX]</w:t>
            </w:r>
          </w:p>
        </w:tc>
      </w:tr>
    </w:tbl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gu7pic0z20q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ORDERING PROCEDURES (FAIR OPPORTUNITY)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sirih6pqctn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Order Competition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task orders issued under this multiple-award BPA shall provide BPA holders a </w:t>
      </w:r>
      <w:r w:rsidDel="00000000" w:rsidR="00000000" w:rsidRPr="00000000">
        <w:rPr>
          <w:rtl w:val="0"/>
        </w:rPr>
        <w:t xml:space="preserve">fair opportunity to be considered</w:t>
      </w:r>
      <w:r w:rsidDel="00000000" w:rsidR="00000000" w:rsidRPr="00000000">
        <w:rPr>
          <w:rtl w:val="0"/>
        </w:rPr>
        <w:t xml:space="preserve">, consistent with the overhauled FAR Part 16 and the parent OASIS+ contract.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irw3mgpllvp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Order-Level Evaluation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Orders may be awarded using: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Best-value tradeoff, or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LPTA (when appropriate)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Evaluation factors may include: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approach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Management and staffing plan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Specialized experience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 performance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Price or cost</w:t>
        <w:br w:type="textWrapping"/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hhfkfxyrqq1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INCORPORATED INTO BPA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Attachment 1           </w:t>
        <w:tab/>
        <w:t xml:space="preserve">Pricing Spreadsheet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Attachment 2           </w:t>
        <w:tab/>
        <w:t xml:space="preserve">[Insert Requirements document </w:t>
      </w:r>
      <w:r w:rsidDel="00000000" w:rsidR="00000000" w:rsidRPr="00000000">
        <w:rPr>
          <w:rtl w:val="0"/>
        </w:rPr>
        <w:t xml:space="preserve">(Performance Work Statement (PWS)/Statement of Work (SOW)/Statement of Objectives (SOO))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Attachment 3           </w:t>
        <w:tab/>
        <w:t xml:space="preserve">Clauses, Terms and Conditions Applicable to Resultant BPA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4fy1jaavp81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ORDER TYPES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Orders under this BPA may be issued as [Firm-Fixed-Price (FFP)/Time-and-Materials (T&amp;M)/Cost-Reimbursement]. 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skzkfc7hoqa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AUTHORIZED ORDERING ACTIVITIES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Orders may be placed by: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[Agency / Bureau / Office]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 Contracting Officers will be delegated OASIS+ ordering authority.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rt8zx3o4hp3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BPA ADMINISTRATION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im3e5envdvo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Contracting Officer Responsibilities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BPA Contracting Officer is responsible for: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BPA administration and oversight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Ensuring fair opportunity compliance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Monitoring BPA ceiling and performance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Modifying or canceling the BPA as needed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1t1g1m4w0jd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MODIFICATION AND CANCELLATION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Contracting Officer may modify or cancel the BPA at any time if it is determined to be in the Government’s best interest. Cancellation does not affect active task orders.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