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58EF8" w14:textId="77777777" w:rsidR="00921732" w:rsidRPr="001472DD" w:rsidRDefault="00921732" w:rsidP="00921732">
      <w:pPr>
        <w:jc w:val="center"/>
        <w:rPr>
          <w:rFonts w:ascii="Arial" w:hAnsi="Arial" w:cs="Arial"/>
          <w:b/>
          <w:sz w:val="28"/>
          <w:szCs w:val="28"/>
        </w:rPr>
      </w:pPr>
      <w:r w:rsidRPr="001472DD">
        <w:rPr>
          <w:rFonts w:ascii="Arial" w:hAnsi="Arial" w:cs="Arial"/>
          <w:b/>
          <w:sz w:val="28"/>
          <w:szCs w:val="28"/>
        </w:rPr>
        <w:t>ATTACHMENT J-1</w:t>
      </w:r>
      <w:r w:rsidR="009443E6" w:rsidRPr="001472DD">
        <w:rPr>
          <w:rFonts w:ascii="Arial" w:hAnsi="Arial" w:cs="Arial"/>
          <w:b/>
          <w:sz w:val="28"/>
          <w:szCs w:val="28"/>
        </w:rPr>
        <w:t>5</w:t>
      </w:r>
    </w:p>
    <w:p w14:paraId="1A6AB74F" w14:textId="77777777" w:rsidR="00921732" w:rsidRPr="001472DD" w:rsidRDefault="00921732" w:rsidP="00921732">
      <w:pPr>
        <w:jc w:val="center"/>
        <w:rPr>
          <w:rFonts w:ascii="Arial" w:hAnsi="Arial" w:cs="Arial"/>
          <w:b/>
          <w:sz w:val="28"/>
          <w:szCs w:val="28"/>
        </w:rPr>
      </w:pPr>
      <w:r w:rsidRPr="001472DD">
        <w:rPr>
          <w:rFonts w:ascii="Arial" w:hAnsi="Arial" w:cs="Arial"/>
          <w:b/>
          <w:sz w:val="28"/>
          <w:szCs w:val="28"/>
        </w:rPr>
        <w:t xml:space="preserve">DD FORM 254 TEMPLATE CONTINUATION PAGES </w:t>
      </w:r>
    </w:p>
    <w:p w14:paraId="0B0704E1" w14:textId="77777777" w:rsidR="00921732" w:rsidRDefault="00921732" w:rsidP="00921732">
      <w:pPr>
        <w:tabs>
          <w:tab w:val="center" w:pos="4320"/>
          <w:tab w:val="right" w:pos="8640"/>
        </w:tabs>
        <w:rPr>
          <w:rFonts w:ascii="Arial" w:hAnsi="Arial" w:cs="Arial"/>
        </w:rPr>
      </w:pPr>
    </w:p>
    <w:p w14:paraId="2752E18A" w14:textId="77777777" w:rsidR="00921732" w:rsidRDefault="00921732" w:rsidP="00921732">
      <w:pPr>
        <w:jc w:val="center"/>
        <w:rPr>
          <w:rFonts w:ascii="Arial" w:hAnsi="Arial" w:cs="Arial"/>
        </w:rPr>
      </w:pPr>
      <w:r>
        <w:rPr>
          <w:rFonts w:ascii="Arial" w:hAnsi="Arial" w:cs="Arial"/>
        </w:rPr>
        <w:t>Prime Contract Number</w:t>
      </w:r>
      <w:proofErr w:type="gramStart"/>
      <w:r>
        <w:rPr>
          <w:rFonts w:ascii="Arial" w:hAnsi="Arial" w:cs="Arial"/>
        </w:rPr>
        <w:t xml:space="preserve">:  </w:t>
      </w:r>
      <w:r w:rsidR="00C2545C" w:rsidRPr="00C2545C">
        <w:rPr>
          <w:rFonts w:ascii="Arial" w:hAnsi="Arial" w:cs="Arial"/>
        </w:rPr>
        <w:t>GSQ0017NR</w:t>
      </w:r>
      <w:r w:rsidR="009B37BE">
        <w:rPr>
          <w:rFonts w:ascii="Arial" w:hAnsi="Arial" w:cs="Arial"/>
        </w:rPr>
        <w:t>D</w:t>
      </w:r>
      <w:r w:rsidR="00C2545C" w:rsidRPr="00C2545C">
        <w:rPr>
          <w:rFonts w:ascii="Arial" w:hAnsi="Arial" w:cs="Arial"/>
        </w:rPr>
        <w:t>40</w:t>
      </w:r>
      <w:r w:rsidR="00506100">
        <w:rPr>
          <w:rFonts w:ascii="Arial" w:hAnsi="Arial" w:cs="Arial"/>
        </w:rPr>
        <w:t>XX</w:t>
      </w:r>
      <w:proofErr w:type="gramEnd"/>
    </w:p>
    <w:p w14:paraId="31A32EA5" w14:textId="77777777" w:rsidR="00B63EBF" w:rsidRPr="009776C7" w:rsidRDefault="00921732" w:rsidP="00921732">
      <w:pPr>
        <w:jc w:val="center"/>
        <w:rPr>
          <w:rFonts w:ascii="Arial" w:hAnsi="Arial" w:cs="Arial"/>
        </w:rPr>
      </w:pPr>
      <w:r>
        <w:rPr>
          <w:rFonts w:ascii="Arial" w:hAnsi="Arial" w:cs="Arial"/>
        </w:rPr>
        <w:t>Contractor</w:t>
      </w:r>
      <w:r w:rsidR="00C2545C">
        <w:rPr>
          <w:rFonts w:ascii="Arial" w:hAnsi="Arial" w:cs="Arial"/>
        </w:rPr>
        <w:t xml:space="preserve"> (</w:t>
      </w:r>
      <w:r w:rsidR="00506100">
        <w:rPr>
          <w:rFonts w:ascii="Arial" w:hAnsi="Arial" w:cs="Arial"/>
        </w:rPr>
        <w:t>NAME</w:t>
      </w:r>
      <w:r w:rsidR="00C2545C">
        <w:rPr>
          <w:rFonts w:ascii="Arial" w:hAnsi="Arial" w:cs="Arial"/>
        </w:rPr>
        <w:t>)</w:t>
      </w:r>
    </w:p>
    <w:p w14:paraId="5C413CAB" w14:textId="77777777" w:rsidR="001472DD" w:rsidRDefault="001472DD" w:rsidP="009204F6">
      <w:pPr>
        <w:rPr>
          <w:rFonts w:ascii="Arial" w:hAnsi="Arial" w:cs="Arial"/>
        </w:rPr>
      </w:pPr>
    </w:p>
    <w:p w14:paraId="4DC145F6" w14:textId="77777777" w:rsidR="009204F6" w:rsidRDefault="009204F6" w:rsidP="009204F6">
      <w:pPr>
        <w:rPr>
          <w:rFonts w:ascii="Arial" w:hAnsi="Arial" w:cs="Arial"/>
        </w:rPr>
      </w:pPr>
      <w:r w:rsidRPr="009776C7">
        <w:rPr>
          <w:rFonts w:ascii="Arial" w:hAnsi="Arial" w:cs="Arial"/>
        </w:rPr>
        <w:t>10</w:t>
      </w:r>
      <w:proofErr w:type="gramStart"/>
      <w:r w:rsidRPr="009776C7">
        <w:rPr>
          <w:rFonts w:ascii="Arial" w:hAnsi="Arial" w:cs="Arial"/>
        </w:rPr>
        <w:t>k(</w:t>
      </w:r>
      <w:proofErr w:type="gramEnd"/>
      <w:r w:rsidRPr="009776C7">
        <w:rPr>
          <w:rFonts w:ascii="Arial" w:hAnsi="Arial" w:cs="Arial"/>
        </w:rPr>
        <w:t xml:space="preserve">1).  IAW DoD 5200.2-R, Personnel Security Program (current edition: January 1987, through Change 3, February 23, 1996), </w:t>
      </w:r>
      <w:r w:rsidR="00271869">
        <w:rPr>
          <w:rFonts w:ascii="Arial" w:hAnsi="Arial" w:cs="Arial"/>
        </w:rPr>
        <w:t>Contractor</w:t>
      </w:r>
      <w:r w:rsidRPr="009776C7">
        <w:rPr>
          <w:rFonts w:ascii="Arial" w:hAnsi="Arial" w:cs="Arial"/>
        </w:rPr>
        <w:t xml:space="preserve"> positions established in support of the</w:t>
      </w:r>
      <w:r>
        <w:rPr>
          <w:rFonts w:ascii="Arial" w:hAnsi="Arial" w:cs="Arial"/>
        </w:rPr>
        <w:t xml:space="preserve"> </w:t>
      </w:r>
      <w:r w:rsidR="007C5B6F">
        <w:rPr>
          <w:rFonts w:ascii="Arial" w:hAnsi="Arial" w:cs="Arial"/>
        </w:rPr>
        <w:t>Complex Commercial SATCOM Solutions (CS3)</w:t>
      </w:r>
      <w:r>
        <w:rPr>
          <w:rFonts w:ascii="Arial" w:hAnsi="Arial" w:cs="Arial"/>
        </w:rPr>
        <w:t xml:space="preserve"> </w:t>
      </w:r>
      <w:r w:rsidRPr="009776C7">
        <w:rPr>
          <w:rFonts w:ascii="Arial" w:hAnsi="Arial" w:cs="Arial"/>
        </w:rPr>
        <w:t xml:space="preserve">contract </w:t>
      </w:r>
      <w:r w:rsidR="007C5B6F">
        <w:rPr>
          <w:rFonts w:ascii="Arial" w:hAnsi="Arial" w:cs="Arial"/>
        </w:rPr>
        <w:t>are</w:t>
      </w:r>
      <w:r w:rsidRPr="009776C7">
        <w:rPr>
          <w:rFonts w:ascii="Arial" w:hAnsi="Arial" w:cs="Arial"/>
        </w:rPr>
        <w:t xml:space="preserve"> </w:t>
      </w:r>
      <w:r>
        <w:rPr>
          <w:rFonts w:ascii="Arial" w:hAnsi="Arial" w:cs="Arial"/>
        </w:rPr>
        <w:t xml:space="preserve">assigned to one of two sensitivity designations </w:t>
      </w:r>
      <w:r w:rsidRPr="009776C7">
        <w:rPr>
          <w:rFonts w:ascii="Arial" w:hAnsi="Arial" w:cs="Arial"/>
        </w:rPr>
        <w:t>Automated Data Processing II (ADP-II)</w:t>
      </w:r>
      <w:r>
        <w:rPr>
          <w:rFonts w:ascii="Arial" w:hAnsi="Arial" w:cs="Arial"/>
        </w:rPr>
        <w:t>,</w:t>
      </w:r>
      <w:r w:rsidRPr="009776C7">
        <w:rPr>
          <w:rFonts w:ascii="Arial" w:hAnsi="Arial" w:cs="Arial"/>
        </w:rPr>
        <w:t xml:space="preserve"> Non-</w:t>
      </w:r>
      <w:proofErr w:type="gramStart"/>
      <w:r w:rsidRPr="009776C7">
        <w:rPr>
          <w:rFonts w:ascii="Arial" w:hAnsi="Arial" w:cs="Arial"/>
        </w:rPr>
        <w:t>critical</w:t>
      </w:r>
      <w:proofErr w:type="gramEnd"/>
      <w:r>
        <w:rPr>
          <w:rFonts w:ascii="Arial" w:hAnsi="Arial" w:cs="Arial"/>
        </w:rPr>
        <w:t>-</w:t>
      </w:r>
      <w:r w:rsidRPr="009776C7">
        <w:rPr>
          <w:rFonts w:ascii="Arial" w:hAnsi="Arial" w:cs="Arial"/>
        </w:rPr>
        <w:t>Sensitive Positions</w:t>
      </w:r>
      <w:r>
        <w:rPr>
          <w:rFonts w:ascii="Arial" w:hAnsi="Arial" w:cs="Arial"/>
        </w:rPr>
        <w:t xml:space="preserve"> or ADP-III, Non-sensitive Positions</w:t>
      </w:r>
      <w:r w:rsidRPr="009776C7">
        <w:rPr>
          <w:rFonts w:ascii="Arial" w:hAnsi="Arial" w:cs="Arial"/>
        </w:rPr>
        <w:t xml:space="preserve">.  </w:t>
      </w:r>
      <w:r>
        <w:rPr>
          <w:rFonts w:ascii="Arial" w:hAnsi="Arial" w:cs="Arial"/>
        </w:rPr>
        <w:t xml:space="preserve">The </w:t>
      </w:r>
      <w:r w:rsidR="00271869">
        <w:rPr>
          <w:rFonts w:ascii="Arial" w:hAnsi="Arial" w:cs="Arial"/>
        </w:rPr>
        <w:t>Contractor</w:t>
      </w:r>
      <w:r>
        <w:rPr>
          <w:rFonts w:ascii="Arial" w:hAnsi="Arial" w:cs="Arial"/>
        </w:rPr>
        <w:t xml:space="preserve"> will ensure that individuals assigned to each sensitivity designation, as determined by the Government, have completed the appropriate forms and investigations.  Necessary security clearances will be based on Defense Security Service (DSS) checks.  </w:t>
      </w:r>
    </w:p>
    <w:p w14:paraId="0AA5C00B" w14:textId="77777777" w:rsidR="009204F6" w:rsidRDefault="009204F6" w:rsidP="009204F6">
      <w:pPr>
        <w:rPr>
          <w:rFonts w:ascii="Arial" w:hAnsi="Arial" w:cs="Arial"/>
        </w:rPr>
      </w:pPr>
    </w:p>
    <w:p w14:paraId="13C51906" w14:textId="77777777" w:rsidR="009204F6" w:rsidRDefault="009204F6" w:rsidP="009204F6">
      <w:pPr>
        <w:rPr>
          <w:rFonts w:ascii="Arial" w:hAnsi="Arial" w:cs="Arial"/>
        </w:rPr>
      </w:pPr>
      <w:r>
        <w:rPr>
          <w:rFonts w:ascii="Arial" w:hAnsi="Arial" w:cs="Arial"/>
        </w:rPr>
        <w:t xml:space="preserve">Required investigations will be completed prior to the assignment of individuals to sensitive duties associated with the position.  The </w:t>
      </w:r>
      <w:r w:rsidR="00271869">
        <w:rPr>
          <w:rFonts w:ascii="Arial" w:hAnsi="Arial" w:cs="Arial"/>
        </w:rPr>
        <w:t xml:space="preserve">Contractor </w:t>
      </w:r>
      <w:r>
        <w:rPr>
          <w:rFonts w:ascii="Arial" w:hAnsi="Arial" w:cs="Arial"/>
        </w:rPr>
        <w:t xml:space="preserve">will forward employee clearance information to </w:t>
      </w:r>
      <w:r w:rsidR="00073587">
        <w:rPr>
          <w:rFonts w:ascii="Arial" w:hAnsi="Arial" w:cs="Arial"/>
        </w:rPr>
        <w:t>Defense Information System Agency (</w:t>
      </w:r>
      <w:r w:rsidRPr="00DD2CED">
        <w:rPr>
          <w:rFonts w:ascii="Arial" w:hAnsi="Arial" w:cs="Arial"/>
        </w:rPr>
        <w:t>DISA</w:t>
      </w:r>
      <w:r w:rsidR="00073587">
        <w:rPr>
          <w:rFonts w:ascii="Arial" w:hAnsi="Arial" w:cs="Arial"/>
        </w:rPr>
        <w:t>)</w:t>
      </w:r>
      <w:r w:rsidRPr="00DD2CED">
        <w:rPr>
          <w:rFonts w:ascii="Arial" w:hAnsi="Arial" w:cs="Arial"/>
        </w:rPr>
        <w:t xml:space="preserve"> Industrial Security (MPS6)</w:t>
      </w:r>
      <w:r>
        <w:rPr>
          <w:rFonts w:ascii="Arial" w:hAnsi="Arial" w:cs="Arial"/>
        </w:rPr>
        <w:t xml:space="preserve">.    </w:t>
      </w:r>
    </w:p>
    <w:p w14:paraId="0B5DC969" w14:textId="77777777" w:rsidR="009204F6" w:rsidRDefault="009204F6" w:rsidP="009204F6">
      <w:pPr>
        <w:rPr>
          <w:rFonts w:ascii="Arial" w:hAnsi="Arial" w:cs="Arial"/>
        </w:rPr>
      </w:pPr>
    </w:p>
    <w:p w14:paraId="28046689" w14:textId="77777777" w:rsidR="009204F6" w:rsidRDefault="009204F6" w:rsidP="009204F6">
      <w:pPr>
        <w:rPr>
          <w:rFonts w:ascii="Arial" w:hAnsi="Arial" w:cs="Arial"/>
        </w:rPr>
      </w:pPr>
      <w:r>
        <w:rPr>
          <w:rFonts w:ascii="Arial" w:hAnsi="Arial" w:cs="Arial"/>
        </w:rPr>
        <w:t xml:space="preserve">DISA retains the right to request removal of </w:t>
      </w:r>
      <w:r w:rsidR="00271869">
        <w:rPr>
          <w:rFonts w:ascii="Arial" w:hAnsi="Arial" w:cs="Arial"/>
        </w:rPr>
        <w:t>Contractor</w:t>
      </w:r>
      <w:r>
        <w:rPr>
          <w:rFonts w:ascii="Arial" w:hAnsi="Arial" w:cs="Arial"/>
        </w:rPr>
        <w:t xml:space="preserve"> personnel, regardless of prior clearance or adjudication status, whose action, while assigned to activities associated with this contract, clearly conflict with the interests of the Government.  The reason </w:t>
      </w:r>
      <w:proofErr w:type="gramStart"/>
      <w:r>
        <w:rPr>
          <w:rFonts w:ascii="Arial" w:hAnsi="Arial" w:cs="Arial"/>
        </w:rPr>
        <w:t>or removal</w:t>
      </w:r>
      <w:proofErr w:type="gramEnd"/>
      <w:r>
        <w:rPr>
          <w:rFonts w:ascii="Arial" w:hAnsi="Arial" w:cs="Arial"/>
        </w:rPr>
        <w:t xml:space="preserve"> will be fully documented in writing by the Contracting Officer.  When and if such removal occurs, the </w:t>
      </w:r>
      <w:r w:rsidR="00271869">
        <w:rPr>
          <w:rFonts w:ascii="Arial" w:hAnsi="Arial" w:cs="Arial"/>
        </w:rPr>
        <w:t xml:space="preserve">Contractor </w:t>
      </w:r>
      <w:r>
        <w:rPr>
          <w:rFonts w:ascii="Arial" w:hAnsi="Arial" w:cs="Arial"/>
        </w:rPr>
        <w:t xml:space="preserve">will within 30 working days assign qualified personnel to any vacancies thus created.  </w:t>
      </w:r>
    </w:p>
    <w:p w14:paraId="4BDE61BF" w14:textId="77777777" w:rsidR="009204F6" w:rsidRDefault="009204F6" w:rsidP="009204F6">
      <w:pPr>
        <w:rPr>
          <w:rFonts w:ascii="Arial" w:hAnsi="Arial" w:cs="Arial"/>
        </w:rPr>
      </w:pPr>
    </w:p>
    <w:p w14:paraId="2D58BD45" w14:textId="77777777" w:rsidR="009204F6" w:rsidRDefault="009204F6" w:rsidP="009204F6">
      <w:pPr>
        <w:rPr>
          <w:rFonts w:ascii="Arial" w:hAnsi="Arial" w:cs="Arial"/>
        </w:rPr>
      </w:pPr>
      <w:r>
        <w:rPr>
          <w:rFonts w:ascii="Arial" w:hAnsi="Arial" w:cs="Arial"/>
        </w:rPr>
        <w:t>DoD 5200.2-R provided under separate cover.</w:t>
      </w:r>
    </w:p>
    <w:p w14:paraId="4061D496" w14:textId="77777777" w:rsidR="009204F6" w:rsidRDefault="009204F6" w:rsidP="00D568D5">
      <w:pPr>
        <w:spacing w:after="120"/>
        <w:rPr>
          <w:rFonts w:ascii="Arial" w:hAnsi="Arial" w:cs="Arial"/>
        </w:rPr>
      </w:pPr>
    </w:p>
    <w:p w14:paraId="04255424" w14:textId="77777777" w:rsidR="007666BE" w:rsidRDefault="007666BE" w:rsidP="00D568D5">
      <w:pPr>
        <w:spacing w:after="120"/>
        <w:rPr>
          <w:rFonts w:ascii="Arial" w:hAnsi="Arial" w:cs="Arial"/>
        </w:rPr>
      </w:pPr>
      <w:r w:rsidRPr="00CE0953">
        <w:rPr>
          <w:rFonts w:ascii="Arial" w:hAnsi="Arial" w:cs="Arial"/>
        </w:rPr>
        <w:t>11c: Contractor will reference the appropriate security classification guidance when generating or deriving classified material or hardware.  All classified information received or generated will be properly stored and handled according to the markings on the material.  All classified information received or generated is the property of the U.S. Government.  At the termination or expiration of this contract, the U.S. Government will be contacted for proper disposition instructions.  Contractor will abide by the following security classification guidance:</w:t>
      </w:r>
    </w:p>
    <w:p w14:paraId="27198DCB" w14:textId="77777777" w:rsidR="00011074" w:rsidRDefault="00B43EC0" w:rsidP="001472DD">
      <w:pPr>
        <w:numPr>
          <w:ilvl w:val="0"/>
          <w:numId w:val="4"/>
        </w:numPr>
        <w:ind w:right="720"/>
        <w:rPr>
          <w:rFonts w:ascii="Arial" w:hAnsi="Arial" w:cs="Arial"/>
        </w:rPr>
      </w:pPr>
      <w:r w:rsidRPr="00011074">
        <w:rPr>
          <w:rFonts w:ascii="Arial" w:hAnsi="Arial" w:cs="Arial"/>
        </w:rPr>
        <w:t>DISA Circular 300-110-3</w:t>
      </w:r>
      <w:r>
        <w:rPr>
          <w:rFonts w:ascii="Arial" w:hAnsi="Arial" w:cs="Arial"/>
        </w:rPr>
        <w:t>,</w:t>
      </w:r>
      <w:r w:rsidRPr="00011074">
        <w:rPr>
          <w:rFonts w:ascii="Arial" w:hAnsi="Arial" w:cs="Arial"/>
        </w:rPr>
        <w:t xml:space="preserve"> </w:t>
      </w:r>
      <w:r>
        <w:rPr>
          <w:rFonts w:ascii="Arial" w:hAnsi="Arial" w:cs="Arial"/>
        </w:rPr>
        <w:t>“</w:t>
      </w:r>
      <w:r w:rsidR="00011074" w:rsidRPr="00011074">
        <w:rPr>
          <w:rFonts w:ascii="Arial" w:hAnsi="Arial" w:cs="Arial"/>
        </w:rPr>
        <w:t>Defense Information System Network (DISN) Security Classification Guide</w:t>
      </w:r>
      <w:r>
        <w:rPr>
          <w:rFonts w:ascii="Arial" w:hAnsi="Arial" w:cs="Arial"/>
        </w:rPr>
        <w:t>”</w:t>
      </w:r>
      <w:r w:rsidR="00011074" w:rsidRPr="00011074">
        <w:rPr>
          <w:rFonts w:ascii="Arial" w:hAnsi="Arial" w:cs="Arial"/>
        </w:rPr>
        <w:t xml:space="preserve"> [current edition dated August 14, 2008]</w:t>
      </w:r>
      <w:r>
        <w:rPr>
          <w:rFonts w:ascii="Arial" w:hAnsi="Arial" w:cs="Arial"/>
        </w:rPr>
        <w:t xml:space="preserve">.  </w:t>
      </w:r>
      <w:r w:rsidR="00B95F25">
        <w:rPr>
          <w:rFonts w:ascii="Arial" w:hAnsi="Arial" w:cs="Arial"/>
        </w:rPr>
        <w:t xml:space="preserve">DISA Circular 300-110-3 </w:t>
      </w:r>
      <w:proofErr w:type="gramStart"/>
      <w:r w:rsidR="00B95F25">
        <w:rPr>
          <w:rFonts w:ascii="Arial" w:hAnsi="Arial" w:cs="Arial"/>
        </w:rPr>
        <w:t>p</w:t>
      </w:r>
      <w:r>
        <w:rPr>
          <w:rFonts w:ascii="Arial" w:hAnsi="Arial" w:cs="Arial"/>
        </w:rPr>
        <w:t>rovided</w:t>
      </w:r>
      <w:proofErr w:type="gramEnd"/>
      <w:r>
        <w:rPr>
          <w:rFonts w:ascii="Arial" w:hAnsi="Arial" w:cs="Arial"/>
        </w:rPr>
        <w:t xml:space="preserve"> under separate cover.</w:t>
      </w:r>
    </w:p>
    <w:p w14:paraId="1A617EBD" w14:textId="77777777" w:rsidR="00944E1D" w:rsidRDefault="0089168F" w:rsidP="001472DD">
      <w:pPr>
        <w:numPr>
          <w:ilvl w:val="0"/>
          <w:numId w:val="4"/>
        </w:numPr>
        <w:ind w:right="720"/>
        <w:rPr>
          <w:rFonts w:ascii="Arial" w:hAnsi="Arial" w:cs="Arial"/>
        </w:rPr>
      </w:pPr>
      <w:r>
        <w:rPr>
          <w:rFonts w:ascii="Arial" w:hAnsi="Arial" w:cs="Arial"/>
        </w:rPr>
        <w:t xml:space="preserve">DoDM 5200.01 Volume 1, Security Program Overview; Volume 2, Marking of Classified; and Volume 3, Protection of </w:t>
      </w:r>
      <w:r>
        <w:rPr>
          <w:rFonts w:ascii="Arial" w:hAnsi="Arial" w:cs="Arial"/>
        </w:rPr>
        <w:lastRenderedPageBreak/>
        <w:t>Classified.  DoDM 5200.01 Volumes 1, 2 and 3 will be provided under separate cover.</w:t>
      </w:r>
    </w:p>
    <w:p w14:paraId="2947D1E8" w14:textId="77777777" w:rsidR="007666BE" w:rsidRDefault="007666BE" w:rsidP="009776C7">
      <w:pPr>
        <w:rPr>
          <w:color w:val="0000FF"/>
        </w:rPr>
      </w:pPr>
    </w:p>
    <w:p w14:paraId="434C826E" w14:textId="77777777" w:rsidR="00A248FA" w:rsidRPr="00D568D5" w:rsidRDefault="00A248FA" w:rsidP="00A248FA">
      <w:pPr>
        <w:rPr>
          <w:rFonts w:ascii="Arial" w:hAnsi="Arial" w:cs="Arial"/>
        </w:rPr>
      </w:pPr>
      <w:r w:rsidRPr="00D568D5">
        <w:rPr>
          <w:rFonts w:ascii="Arial" w:hAnsi="Arial" w:cs="Arial"/>
        </w:rPr>
        <w:t xml:space="preserve">11d:  The Contractor is required to store </w:t>
      </w:r>
      <w:r w:rsidR="00073587">
        <w:rPr>
          <w:rFonts w:ascii="Arial" w:hAnsi="Arial" w:cs="Arial"/>
        </w:rPr>
        <w:t>Communications Security (</w:t>
      </w:r>
      <w:r w:rsidRPr="00D568D5">
        <w:rPr>
          <w:rFonts w:ascii="Arial" w:hAnsi="Arial" w:cs="Arial"/>
        </w:rPr>
        <w:t>COMSEC</w:t>
      </w:r>
      <w:r w:rsidR="00073587">
        <w:rPr>
          <w:rFonts w:ascii="Arial" w:hAnsi="Arial" w:cs="Arial"/>
        </w:rPr>
        <w:t>)</w:t>
      </w:r>
      <w:r w:rsidRPr="00D568D5">
        <w:rPr>
          <w:rFonts w:ascii="Arial" w:hAnsi="Arial" w:cs="Arial"/>
        </w:rPr>
        <w:t xml:space="preserve"> equipment (i.e., STEs), and associated keying material (i.e., </w:t>
      </w:r>
      <w:r>
        <w:rPr>
          <w:rFonts w:ascii="Arial" w:hAnsi="Arial" w:cs="Arial"/>
        </w:rPr>
        <w:t>F</w:t>
      </w:r>
      <w:r w:rsidRPr="00D568D5">
        <w:rPr>
          <w:rFonts w:ascii="Arial" w:hAnsi="Arial" w:cs="Arial"/>
        </w:rPr>
        <w:t xml:space="preserve">ortezza cards), classified </w:t>
      </w:r>
      <w:r>
        <w:rPr>
          <w:rFonts w:ascii="Arial" w:hAnsi="Arial" w:cs="Arial"/>
        </w:rPr>
        <w:t xml:space="preserve">document </w:t>
      </w:r>
      <w:r w:rsidRPr="00D568D5">
        <w:rPr>
          <w:rFonts w:ascii="Arial" w:hAnsi="Arial" w:cs="Arial"/>
        </w:rPr>
        <w:t>hardcop</w:t>
      </w:r>
      <w:r>
        <w:rPr>
          <w:rFonts w:ascii="Arial" w:hAnsi="Arial" w:cs="Arial"/>
        </w:rPr>
        <w:t>ies</w:t>
      </w:r>
      <w:r w:rsidRPr="00D568D5">
        <w:rPr>
          <w:rFonts w:ascii="Arial" w:hAnsi="Arial" w:cs="Arial"/>
        </w:rPr>
        <w:t xml:space="preserve">, </w:t>
      </w:r>
      <w:r>
        <w:rPr>
          <w:rFonts w:ascii="Arial" w:hAnsi="Arial" w:cs="Arial"/>
        </w:rPr>
        <w:t>classified document softcopies</w:t>
      </w:r>
      <w:r w:rsidRPr="00D568D5">
        <w:rPr>
          <w:rFonts w:ascii="Arial" w:hAnsi="Arial" w:cs="Arial"/>
        </w:rPr>
        <w:t xml:space="preserve"> and is required to have the following requirement(s): </w:t>
      </w:r>
      <w:r>
        <w:rPr>
          <w:rFonts w:ascii="Arial" w:hAnsi="Arial" w:cs="Arial"/>
        </w:rPr>
        <w:t xml:space="preserve">not </w:t>
      </w:r>
      <w:r w:rsidRPr="00D568D5">
        <w:rPr>
          <w:rFonts w:ascii="Arial" w:hAnsi="Arial" w:cs="Arial"/>
        </w:rPr>
        <w:t xml:space="preserve">less than </w:t>
      </w:r>
      <w:r>
        <w:rPr>
          <w:rFonts w:ascii="Arial" w:hAnsi="Arial" w:cs="Arial"/>
        </w:rPr>
        <w:t xml:space="preserve">an </w:t>
      </w:r>
      <w:r w:rsidRPr="00D568D5">
        <w:rPr>
          <w:rFonts w:ascii="Arial" w:hAnsi="Arial" w:cs="Arial"/>
        </w:rPr>
        <w:t>GSA-approved</w:t>
      </w:r>
      <w:r>
        <w:rPr>
          <w:rFonts w:ascii="Arial" w:hAnsi="Arial" w:cs="Arial"/>
        </w:rPr>
        <w:t xml:space="preserve">, 2 drawer, </w:t>
      </w:r>
      <w:r w:rsidRPr="0041064E">
        <w:rPr>
          <w:rFonts w:ascii="Arial" w:hAnsi="Arial" w:cs="Arial"/>
        </w:rPr>
        <w:t xml:space="preserve">2 </w:t>
      </w:r>
      <w:r w:rsidRPr="00D568D5">
        <w:rPr>
          <w:rFonts w:ascii="Arial" w:hAnsi="Arial" w:cs="Arial"/>
        </w:rPr>
        <w:t xml:space="preserve">cubic feet </w:t>
      </w:r>
      <w:r>
        <w:rPr>
          <w:rFonts w:ascii="Arial" w:hAnsi="Arial" w:cs="Arial"/>
        </w:rPr>
        <w:t>safe for storage of</w:t>
      </w:r>
      <w:r w:rsidRPr="00D568D5">
        <w:rPr>
          <w:rFonts w:ascii="Arial" w:hAnsi="Arial" w:cs="Arial"/>
        </w:rPr>
        <w:t xml:space="preserve"> classified material.</w:t>
      </w:r>
    </w:p>
    <w:p w14:paraId="693484EF" w14:textId="77777777" w:rsidR="00CE32EA" w:rsidRDefault="00CE32EA" w:rsidP="00D568D5">
      <w:pPr>
        <w:spacing w:after="120"/>
        <w:rPr>
          <w:rFonts w:ascii="Arial" w:hAnsi="Arial" w:cs="Arial"/>
        </w:rPr>
      </w:pPr>
    </w:p>
    <w:p w14:paraId="1EDCAFE6" w14:textId="77777777" w:rsidR="008D5779" w:rsidRDefault="008D5779" w:rsidP="00D568D5">
      <w:pPr>
        <w:spacing w:after="120"/>
        <w:rPr>
          <w:rFonts w:ascii="Arial" w:hAnsi="Arial" w:cs="Arial"/>
        </w:rPr>
      </w:pPr>
      <w:r>
        <w:rPr>
          <w:rFonts w:ascii="Arial" w:hAnsi="Arial" w:cs="Arial"/>
        </w:rPr>
        <w:t xml:space="preserve">11f: </w:t>
      </w:r>
      <w:r w:rsidR="00702A08">
        <w:rPr>
          <w:rFonts w:ascii="Arial" w:hAnsi="Arial" w:cs="Arial"/>
        </w:rPr>
        <w:t xml:space="preserve">Contractor and its </w:t>
      </w:r>
      <w:r w:rsidR="00271869">
        <w:rPr>
          <w:rFonts w:ascii="Arial" w:hAnsi="Arial" w:cs="Arial"/>
        </w:rPr>
        <w:t>Subcontractors</w:t>
      </w:r>
      <w:r w:rsidR="00702A08">
        <w:rPr>
          <w:rFonts w:ascii="Arial" w:hAnsi="Arial" w:cs="Arial"/>
        </w:rPr>
        <w:t xml:space="preserve">, when </w:t>
      </w:r>
      <w:r w:rsidR="00945D5A">
        <w:rPr>
          <w:rFonts w:ascii="Arial" w:hAnsi="Arial" w:cs="Arial"/>
        </w:rPr>
        <w:t xml:space="preserve">traveling or </w:t>
      </w:r>
      <w:r w:rsidR="00702A08">
        <w:rPr>
          <w:rFonts w:ascii="Arial" w:hAnsi="Arial" w:cs="Arial"/>
        </w:rPr>
        <w:t xml:space="preserve">performing </w:t>
      </w:r>
      <w:r w:rsidR="00945D5A">
        <w:rPr>
          <w:rFonts w:ascii="Arial" w:hAnsi="Arial" w:cs="Arial"/>
        </w:rPr>
        <w:t xml:space="preserve">work </w:t>
      </w:r>
      <w:r w:rsidR="00702A08">
        <w:rPr>
          <w:rFonts w:ascii="Arial" w:hAnsi="Arial" w:cs="Arial"/>
        </w:rPr>
        <w:t>outside the United States, Puerto Rico, and U.S. Possessions and Trust Territories under this contract shall:</w:t>
      </w:r>
    </w:p>
    <w:p w14:paraId="1354D3B0" w14:textId="77777777" w:rsidR="00FD4642" w:rsidRDefault="00FD4642" w:rsidP="00FD4642">
      <w:pPr>
        <w:spacing w:after="120"/>
        <w:ind w:left="720" w:right="720"/>
        <w:rPr>
          <w:rFonts w:ascii="Arial" w:hAnsi="Arial" w:cs="Arial"/>
        </w:rPr>
      </w:pPr>
      <w:r w:rsidRPr="00702A08">
        <w:rPr>
          <w:rFonts w:ascii="Arial" w:hAnsi="Arial" w:cs="Arial"/>
        </w:rPr>
        <w:t>i.</w:t>
      </w:r>
      <w:r>
        <w:rPr>
          <w:rFonts w:ascii="Arial" w:hAnsi="Arial" w:cs="Arial"/>
        </w:rPr>
        <w:t xml:space="preserve"> Affiliate with the Overseas Security Advisory Council, if the </w:t>
      </w:r>
      <w:r w:rsidR="00073587">
        <w:rPr>
          <w:rFonts w:ascii="Arial" w:hAnsi="Arial" w:cs="Arial"/>
        </w:rPr>
        <w:t>Contractor or</w:t>
      </w:r>
      <w:r w:rsidR="00A841DC">
        <w:rPr>
          <w:rFonts w:ascii="Arial" w:hAnsi="Arial" w:cs="Arial"/>
        </w:rPr>
        <w:t xml:space="preserve"> </w:t>
      </w:r>
      <w:r w:rsidR="00271869">
        <w:rPr>
          <w:rFonts w:ascii="Arial" w:hAnsi="Arial" w:cs="Arial"/>
        </w:rPr>
        <w:t>Sub</w:t>
      </w:r>
      <w:r w:rsidR="00A841DC">
        <w:rPr>
          <w:rFonts w:ascii="Arial" w:hAnsi="Arial" w:cs="Arial"/>
        </w:rPr>
        <w:t>c</w:t>
      </w:r>
      <w:r w:rsidR="00271869">
        <w:rPr>
          <w:rFonts w:ascii="Arial" w:hAnsi="Arial" w:cs="Arial"/>
        </w:rPr>
        <w:t xml:space="preserve">ontractor </w:t>
      </w:r>
      <w:r>
        <w:rPr>
          <w:rFonts w:ascii="Arial" w:hAnsi="Arial" w:cs="Arial"/>
        </w:rPr>
        <w:t xml:space="preserve">is a U.S. </w:t>
      </w:r>
      <w:proofErr w:type="gramStart"/>
      <w:r>
        <w:rPr>
          <w:rFonts w:ascii="Arial" w:hAnsi="Arial" w:cs="Arial"/>
        </w:rPr>
        <w:t>entity;</w:t>
      </w:r>
      <w:proofErr w:type="gramEnd"/>
    </w:p>
    <w:p w14:paraId="3849C534" w14:textId="77777777" w:rsidR="00FD4642" w:rsidRDefault="00FD4642" w:rsidP="00FD4642">
      <w:pPr>
        <w:spacing w:after="120"/>
        <w:ind w:left="720" w:right="720"/>
        <w:rPr>
          <w:rFonts w:ascii="Arial" w:hAnsi="Arial" w:cs="Arial"/>
        </w:rPr>
      </w:pPr>
      <w:r>
        <w:rPr>
          <w:rFonts w:ascii="Arial" w:hAnsi="Arial" w:cs="Arial"/>
        </w:rPr>
        <w:t xml:space="preserve">ii. Ensure personnel who are in-country on a non-transitory basis, register with the U.S. Embassy, and that </w:t>
      </w:r>
      <w:r w:rsidR="00073587">
        <w:rPr>
          <w:rFonts w:ascii="Arial" w:hAnsi="Arial" w:cs="Arial"/>
        </w:rPr>
        <w:t>Contractor or</w:t>
      </w:r>
      <w:r>
        <w:rPr>
          <w:rFonts w:ascii="Arial" w:hAnsi="Arial" w:cs="Arial"/>
        </w:rPr>
        <w:t xml:space="preserve"> </w:t>
      </w:r>
      <w:r w:rsidR="00271869">
        <w:rPr>
          <w:rFonts w:ascii="Arial" w:hAnsi="Arial" w:cs="Arial"/>
        </w:rPr>
        <w:t>Sub</w:t>
      </w:r>
      <w:r w:rsidR="00A841DC">
        <w:rPr>
          <w:rFonts w:ascii="Arial" w:hAnsi="Arial" w:cs="Arial"/>
        </w:rPr>
        <w:t>c</w:t>
      </w:r>
      <w:r w:rsidR="00271869">
        <w:rPr>
          <w:rFonts w:ascii="Arial" w:hAnsi="Arial" w:cs="Arial"/>
        </w:rPr>
        <w:t xml:space="preserve">ontractor </w:t>
      </w:r>
      <w:r>
        <w:rPr>
          <w:rFonts w:ascii="Arial" w:hAnsi="Arial" w:cs="Arial"/>
        </w:rPr>
        <w:t xml:space="preserve">personnel who are third country nationals comply with any security related requirements of the Embassy of their </w:t>
      </w:r>
      <w:proofErr w:type="gramStart"/>
      <w:r>
        <w:rPr>
          <w:rFonts w:ascii="Arial" w:hAnsi="Arial" w:cs="Arial"/>
        </w:rPr>
        <w:t>nationality;</w:t>
      </w:r>
      <w:proofErr w:type="gramEnd"/>
    </w:p>
    <w:p w14:paraId="011F3390" w14:textId="77777777" w:rsidR="00FD4642" w:rsidRDefault="00FD4642" w:rsidP="00FD4642">
      <w:pPr>
        <w:spacing w:after="120"/>
        <w:ind w:left="720" w:right="720"/>
        <w:rPr>
          <w:rFonts w:ascii="Arial" w:hAnsi="Arial" w:cs="Arial"/>
        </w:rPr>
      </w:pPr>
      <w:r>
        <w:rPr>
          <w:rFonts w:ascii="Arial" w:hAnsi="Arial" w:cs="Arial"/>
        </w:rPr>
        <w:t xml:space="preserve">iii. Provide personnel with antiterrorism/force protection awareness information commensurate with that the DoD provides to its military and civilian personnel, to the extent such information can be made available prior to travel outside the </w:t>
      </w:r>
      <w:proofErr w:type="gramStart"/>
      <w:r>
        <w:rPr>
          <w:rFonts w:ascii="Arial" w:hAnsi="Arial" w:cs="Arial"/>
        </w:rPr>
        <w:t>U.S.;</w:t>
      </w:r>
      <w:proofErr w:type="gramEnd"/>
    </w:p>
    <w:p w14:paraId="2509BC5C" w14:textId="77777777" w:rsidR="00FD4642" w:rsidRDefault="00FD4642" w:rsidP="00FD4642">
      <w:pPr>
        <w:spacing w:after="120"/>
        <w:ind w:left="720" w:right="720"/>
        <w:rPr>
          <w:rFonts w:ascii="Arial" w:hAnsi="Arial" w:cs="Arial"/>
        </w:rPr>
      </w:pPr>
      <w:r>
        <w:rPr>
          <w:rFonts w:ascii="Arial" w:hAnsi="Arial" w:cs="Arial"/>
        </w:rPr>
        <w:t xml:space="preserve">iv. Obtain and comply with the most current antiterrorism/force protection guidance for </w:t>
      </w:r>
      <w:r w:rsidR="00271869">
        <w:rPr>
          <w:rFonts w:ascii="Arial" w:hAnsi="Arial" w:cs="Arial"/>
        </w:rPr>
        <w:t>Contractor</w:t>
      </w:r>
      <w:r w:rsidR="00A841DC">
        <w:rPr>
          <w:rFonts w:ascii="Arial" w:hAnsi="Arial" w:cs="Arial"/>
        </w:rPr>
        <w:t xml:space="preserve"> </w:t>
      </w:r>
      <w:proofErr w:type="gramStart"/>
      <w:r>
        <w:rPr>
          <w:rFonts w:ascii="Arial" w:hAnsi="Arial" w:cs="Arial"/>
        </w:rPr>
        <w:t>personnel;</w:t>
      </w:r>
      <w:proofErr w:type="gramEnd"/>
    </w:p>
    <w:p w14:paraId="018BCCE0" w14:textId="77777777" w:rsidR="00FD4642" w:rsidRDefault="00FD4642" w:rsidP="00FD4642">
      <w:pPr>
        <w:ind w:left="720" w:right="720"/>
        <w:rPr>
          <w:rFonts w:ascii="Arial" w:hAnsi="Arial" w:cs="Arial"/>
        </w:rPr>
      </w:pPr>
      <w:r>
        <w:rPr>
          <w:rFonts w:ascii="Arial" w:hAnsi="Arial" w:cs="Arial"/>
        </w:rPr>
        <w:t>v. Restrict performance of classified work to the sites indicated in the individual task orders.</w:t>
      </w:r>
    </w:p>
    <w:p w14:paraId="6B3F55DF" w14:textId="77777777" w:rsidR="008D5779" w:rsidRDefault="008D5779" w:rsidP="009776C7">
      <w:pPr>
        <w:rPr>
          <w:rFonts w:ascii="Arial" w:hAnsi="Arial" w:cs="Arial"/>
        </w:rPr>
      </w:pPr>
    </w:p>
    <w:p w14:paraId="77CE3FD0" w14:textId="77777777" w:rsidR="003630EA" w:rsidRDefault="008D5779" w:rsidP="009776C7">
      <w:pPr>
        <w:rPr>
          <w:rFonts w:ascii="Arial" w:hAnsi="Arial" w:cs="Arial"/>
        </w:rPr>
      </w:pPr>
      <w:r>
        <w:rPr>
          <w:rFonts w:ascii="Arial" w:hAnsi="Arial" w:cs="Arial"/>
        </w:rPr>
        <w:t xml:space="preserve">11g:  </w:t>
      </w:r>
      <w:r w:rsidR="00D568D5">
        <w:rPr>
          <w:rFonts w:ascii="Arial" w:hAnsi="Arial" w:cs="Arial"/>
        </w:rPr>
        <w:t>Technical information on file at the Defense Technical Information Center (DTIC) will be made available to the</w:t>
      </w:r>
      <w:r w:rsidR="00A841DC">
        <w:rPr>
          <w:rFonts w:ascii="Arial" w:hAnsi="Arial" w:cs="Arial"/>
        </w:rPr>
        <w:t xml:space="preserve"> </w:t>
      </w:r>
      <w:r w:rsidR="00271869">
        <w:rPr>
          <w:rFonts w:ascii="Arial" w:hAnsi="Arial" w:cs="Arial"/>
        </w:rPr>
        <w:t>Contractor</w:t>
      </w:r>
      <w:r w:rsidR="00A841DC">
        <w:rPr>
          <w:rFonts w:ascii="Arial" w:hAnsi="Arial" w:cs="Arial"/>
        </w:rPr>
        <w:t xml:space="preserve"> </w:t>
      </w:r>
      <w:r w:rsidR="00D568D5">
        <w:rPr>
          <w:rFonts w:ascii="Arial" w:hAnsi="Arial" w:cs="Arial"/>
        </w:rPr>
        <w:t xml:space="preserve">if the </w:t>
      </w:r>
      <w:r w:rsidR="00271869">
        <w:rPr>
          <w:rFonts w:ascii="Arial" w:hAnsi="Arial" w:cs="Arial"/>
        </w:rPr>
        <w:t>Contractor</w:t>
      </w:r>
      <w:r w:rsidR="00D568D5">
        <w:rPr>
          <w:rFonts w:ascii="Arial" w:hAnsi="Arial" w:cs="Arial"/>
        </w:rPr>
        <w:t xml:space="preserve"> requires such information.  </w:t>
      </w:r>
    </w:p>
    <w:p w14:paraId="3E72FCA2" w14:textId="77777777" w:rsidR="003630EA" w:rsidRDefault="003630EA" w:rsidP="009776C7">
      <w:pPr>
        <w:rPr>
          <w:rFonts w:ascii="Arial" w:hAnsi="Arial" w:cs="Arial"/>
        </w:rPr>
      </w:pPr>
    </w:p>
    <w:p w14:paraId="5C52A63F" w14:textId="77777777" w:rsidR="00747ACD" w:rsidRPr="00747ACD" w:rsidRDefault="00747ACD" w:rsidP="009776C7">
      <w:pPr>
        <w:rPr>
          <w:rFonts w:ascii="Arial" w:hAnsi="Arial" w:cs="Arial"/>
        </w:rPr>
      </w:pPr>
      <w:r>
        <w:rPr>
          <w:rFonts w:ascii="Arial" w:hAnsi="Arial" w:cs="Arial"/>
        </w:rPr>
        <w:t>11h</w:t>
      </w:r>
      <w:proofErr w:type="gramStart"/>
      <w:r>
        <w:rPr>
          <w:rFonts w:ascii="Arial" w:hAnsi="Arial" w:cs="Arial"/>
        </w:rPr>
        <w:t xml:space="preserve">:  </w:t>
      </w:r>
      <w:r w:rsidRPr="00747ACD">
        <w:rPr>
          <w:rFonts w:ascii="Arial" w:hAnsi="Arial" w:cs="Arial"/>
        </w:rPr>
        <w:t>The</w:t>
      </w:r>
      <w:proofErr w:type="gramEnd"/>
      <w:r w:rsidRPr="00747ACD">
        <w:rPr>
          <w:rFonts w:ascii="Arial" w:hAnsi="Arial" w:cs="Arial"/>
        </w:rPr>
        <w:t xml:space="preserve"> requirements and procedures for the protection of COMSEC information are set forth in the National Industrial Security Program Operating Manual (NISPOM) [current edition: DoD 5220.22-M dated </w:t>
      </w:r>
      <w:r w:rsidR="00FD4642">
        <w:rPr>
          <w:rFonts w:ascii="Arial" w:hAnsi="Arial" w:cs="Arial"/>
        </w:rPr>
        <w:t xml:space="preserve">February </w:t>
      </w:r>
      <w:r w:rsidRPr="00747ACD">
        <w:rPr>
          <w:rFonts w:ascii="Arial" w:hAnsi="Arial" w:cs="Arial"/>
        </w:rPr>
        <w:t>2</w:t>
      </w:r>
      <w:r w:rsidR="00FD4642">
        <w:rPr>
          <w:rFonts w:ascii="Arial" w:hAnsi="Arial" w:cs="Arial"/>
        </w:rPr>
        <w:t>8</w:t>
      </w:r>
      <w:r w:rsidRPr="00747ACD">
        <w:rPr>
          <w:rFonts w:ascii="Arial" w:hAnsi="Arial" w:cs="Arial"/>
        </w:rPr>
        <w:t>, 20</w:t>
      </w:r>
      <w:r w:rsidR="00FD4642">
        <w:rPr>
          <w:rFonts w:ascii="Arial" w:hAnsi="Arial" w:cs="Arial"/>
        </w:rPr>
        <w:t>06</w:t>
      </w:r>
      <w:r w:rsidR="00034641">
        <w:rPr>
          <w:rFonts w:ascii="Arial" w:hAnsi="Arial" w:cs="Arial"/>
        </w:rPr>
        <w:t>, Incorporating Change 1, March 28, 2013</w:t>
      </w:r>
      <w:r w:rsidRPr="00747ACD">
        <w:rPr>
          <w:rFonts w:ascii="Arial" w:hAnsi="Arial" w:cs="Arial"/>
        </w:rPr>
        <w:t>].  The COMSEC requirements of the NISPOM are imposed on the</w:t>
      </w:r>
      <w:r w:rsidR="00A841DC">
        <w:rPr>
          <w:rFonts w:ascii="Arial" w:hAnsi="Arial" w:cs="Arial"/>
        </w:rPr>
        <w:t xml:space="preserve"> </w:t>
      </w:r>
      <w:r w:rsidR="00271869">
        <w:rPr>
          <w:rFonts w:ascii="Arial" w:hAnsi="Arial" w:cs="Arial"/>
        </w:rPr>
        <w:t>Contractor</w:t>
      </w:r>
      <w:r w:rsidRPr="00747ACD">
        <w:rPr>
          <w:rFonts w:ascii="Arial" w:hAnsi="Arial" w:cs="Arial"/>
        </w:rPr>
        <w:t xml:space="preserve"> for safeguarding the COMSEC information.  Contractor is authorized to receive Government furnished cryptographic equipment.  Access to any classified COMSEC information requires special briefings at the</w:t>
      </w:r>
      <w:r w:rsidR="00A841DC">
        <w:rPr>
          <w:rFonts w:ascii="Arial" w:hAnsi="Arial" w:cs="Arial"/>
        </w:rPr>
        <w:t xml:space="preserve"> </w:t>
      </w:r>
      <w:r w:rsidR="00271869">
        <w:rPr>
          <w:rFonts w:ascii="Arial" w:hAnsi="Arial" w:cs="Arial"/>
        </w:rPr>
        <w:t>Contractor</w:t>
      </w:r>
      <w:r w:rsidRPr="00747ACD">
        <w:rPr>
          <w:rFonts w:ascii="Arial" w:hAnsi="Arial" w:cs="Arial"/>
        </w:rPr>
        <w:t xml:space="preserve">'s facilities.  Access to classified COMSEC information requires a final U.S. Government clearance at the appropriate level.  Non-accountable COMSEC information, though not tracked in </w:t>
      </w:r>
      <w:r w:rsidRPr="00747ACD">
        <w:rPr>
          <w:rFonts w:ascii="Arial" w:hAnsi="Arial" w:cs="Arial"/>
        </w:rPr>
        <w:lastRenderedPageBreak/>
        <w:t>the COMSEC material control system, may still require a level or control within a document control system; refer to NSA/CSS Manual 3-16, Control of Communications Security Material, page E-4 for guidance.  Methods of destruction of classified COMSEC material shall comply with the NISPOM (Ref: Section 5-705 of DoD 5220.2</w:t>
      </w:r>
      <w:r w:rsidR="00A9092D">
        <w:rPr>
          <w:rFonts w:ascii="Arial" w:hAnsi="Arial" w:cs="Arial"/>
        </w:rPr>
        <w:t>2</w:t>
      </w:r>
      <w:r w:rsidRPr="00747ACD">
        <w:rPr>
          <w:rFonts w:ascii="Arial" w:hAnsi="Arial" w:cs="Arial"/>
        </w:rPr>
        <w:t>-M).  Further disclosure of COMSEC information by a</w:t>
      </w:r>
      <w:r w:rsidR="00A841DC">
        <w:rPr>
          <w:rFonts w:ascii="Arial" w:hAnsi="Arial" w:cs="Arial"/>
        </w:rPr>
        <w:t xml:space="preserve"> </w:t>
      </w:r>
      <w:r w:rsidR="00271869">
        <w:rPr>
          <w:rFonts w:ascii="Arial" w:hAnsi="Arial" w:cs="Arial"/>
        </w:rPr>
        <w:t>Contractor</w:t>
      </w:r>
      <w:r w:rsidRPr="00747ACD">
        <w:rPr>
          <w:rFonts w:ascii="Arial" w:hAnsi="Arial" w:cs="Arial"/>
        </w:rPr>
        <w:t>, to include subcontracting, requires prior</w:t>
      </w:r>
      <w:r w:rsidR="00034641">
        <w:rPr>
          <w:rFonts w:ascii="Arial" w:hAnsi="Arial" w:cs="Arial"/>
        </w:rPr>
        <w:t xml:space="preserve"> </w:t>
      </w:r>
      <w:r w:rsidRPr="00747ACD">
        <w:rPr>
          <w:rFonts w:ascii="Arial" w:hAnsi="Arial" w:cs="Arial"/>
        </w:rPr>
        <w:t xml:space="preserve">approval of the </w:t>
      </w:r>
      <w:r w:rsidR="00073587">
        <w:rPr>
          <w:rFonts w:ascii="Arial" w:hAnsi="Arial" w:cs="Arial"/>
        </w:rPr>
        <w:t>G</w:t>
      </w:r>
      <w:r w:rsidRPr="00747ACD">
        <w:rPr>
          <w:rFonts w:ascii="Arial" w:hAnsi="Arial" w:cs="Arial"/>
        </w:rPr>
        <w:t>overnment contracting activity</w:t>
      </w:r>
      <w:r w:rsidR="00B95F25">
        <w:rPr>
          <w:rFonts w:ascii="Arial" w:hAnsi="Arial" w:cs="Arial"/>
        </w:rPr>
        <w:t>.  DoD 5220.22-M and NSA/CSS Manual 3-16 provided under separate cover.</w:t>
      </w:r>
    </w:p>
    <w:p w14:paraId="69C09F18" w14:textId="77777777" w:rsidR="007666BE" w:rsidRPr="00226199" w:rsidRDefault="007666BE" w:rsidP="009776C7">
      <w:pPr>
        <w:rPr>
          <w:rFonts w:ascii="Arial" w:hAnsi="Arial" w:cs="Arial"/>
        </w:rPr>
      </w:pPr>
    </w:p>
    <w:p w14:paraId="1DA43E40" w14:textId="77777777" w:rsidR="007666BE" w:rsidRDefault="007666BE" w:rsidP="009776C7">
      <w:pPr>
        <w:rPr>
          <w:rFonts w:ascii="Arial" w:hAnsi="Arial" w:cs="Arial"/>
        </w:rPr>
      </w:pPr>
      <w:r w:rsidRPr="00226199">
        <w:rPr>
          <w:rFonts w:ascii="Arial" w:hAnsi="Arial" w:cs="Arial"/>
        </w:rPr>
        <w:t>11i</w:t>
      </w:r>
      <w:proofErr w:type="gramStart"/>
      <w:r w:rsidRPr="00226199">
        <w:rPr>
          <w:rFonts w:ascii="Arial" w:hAnsi="Arial" w:cs="Arial"/>
        </w:rPr>
        <w:t>:  The</w:t>
      </w:r>
      <w:proofErr w:type="gramEnd"/>
      <w:r w:rsidR="00A841DC">
        <w:rPr>
          <w:rFonts w:ascii="Arial" w:hAnsi="Arial" w:cs="Arial"/>
        </w:rPr>
        <w:t xml:space="preserve"> </w:t>
      </w:r>
      <w:r w:rsidR="00271869">
        <w:rPr>
          <w:rFonts w:ascii="Arial" w:hAnsi="Arial" w:cs="Arial"/>
        </w:rPr>
        <w:t>Contractor</w:t>
      </w:r>
      <w:r w:rsidRPr="00226199">
        <w:rPr>
          <w:rFonts w:ascii="Arial" w:hAnsi="Arial" w:cs="Arial"/>
        </w:rPr>
        <w:t xml:space="preserve"> shall not process classified information by electrical means prior to a DISA TEMPEST evaluation of the equipment/systems and facility, and written DISA certification that the facility meets DISA TEMPEST criteria.  </w:t>
      </w:r>
      <w:proofErr w:type="gramStart"/>
      <w:r w:rsidRPr="00226199">
        <w:rPr>
          <w:rFonts w:ascii="Arial" w:hAnsi="Arial" w:cs="Arial"/>
        </w:rPr>
        <w:t>In order to</w:t>
      </w:r>
      <w:proofErr w:type="gramEnd"/>
      <w:r w:rsidRPr="00226199">
        <w:rPr>
          <w:rFonts w:ascii="Arial" w:hAnsi="Arial" w:cs="Arial"/>
        </w:rPr>
        <w:t xml:space="preserve"> expedite the DISA TEMPEST evaluation, the </w:t>
      </w:r>
      <w:r w:rsidR="00271869">
        <w:rPr>
          <w:rFonts w:ascii="Arial" w:hAnsi="Arial" w:cs="Arial"/>
        </w:rPr>
        <w:t>Contractor</w:t>
      </w:r>
      <w:r w:rsidRPr="00226199">
        <w:rPr>
          <w:rFonts w:ascii="Arial" w:hAnsi="Arial" w:cs="Arial"/>
        </w:rPr>
        <w:t xml:space="preserve"> shall provide a list of equipment, to include model number, which is associated with the processing of classified information.  In addition, the estimated percentage of classified information processed, cable/conduit runs, a floor plan layout that depicts placement of equipment in relation to other rooms, equipment distances from walls or uncontrolled areas, and physical security being afforded the equipment both during processing and after hours.  The above TEMPEST evaluation and DISA approval will not be required if previous DISA approval can be furnished and is no more than 2 years old.  The existing approval must be for processing information at the same or higher level and at the same facility and items of equipment.  The DISA Certified TEMPEST Technical Authority is the only authorized approving agent for TEMPEST systems within DISA.</w:t>
      </w:r>
    </w:p>
    <w:p w14:paraId="40F4F19F" w14:textId="77777777" w:rsidR="0035792A" w:rsidRPr="00A9092D" w:rsidRDefault="0035792A" w:rsidP="009776C7">
      <w:pPr>
        <w:rPr>
          <w:rFonts w:ascii="Arial" w:hAnsi="Arial" w:cs="Arial"/>
        </w:rPr>
      </w:pPr>
    </w:p>
    <w:p w14:paraId="0FE62879" w14:textId="77777777" w:rsidR="0035792A" w:rsidRDefault="007666BE" w:rsidP="00A9092D">
      <w:pPr>
        <w:autoSpaceDE w:val="0"/>
        <w:autoSpaceDN w:val="0"/>
        <w:adjustRightInd w:val="0"/>
        <w:rPr>
          <w:rFonts w:ascii="Arial" w:hAnsi="Arial" w:cs="Arial"/>
        </w:rPr>
      </w:pPr>
      <w:r w:rsidRPr="00A9092D">
        <w:rPr>
          <w:rFonts w:ascii="Arial" w:hAnsi="Arial" w:cs="Arial"/>
        </w:rPr>
        <w:t>11j</w:t>
      </w:r>
      <w:proofErr w:type="gramStart"/>
      <w:r w:rsidRPr="00A9092D">
        <w:rPr>
          <w:rFonts w:ascii="Arial" w:hAnsi="Arial" w:cs="Arial"/>
        </w:rPr>
        <w:t>:  The</w:t>
      </w:r>
      <w:proofErr w:type="gramEnd"/>
      <w:r w:rsidRPr="00A9092D">
        <w:rPr>
          <w:rFonts w:ascii="Arial" w:hAnsi="Arial" w:cs="Arial"/>
        </w:rPr>
        <w:t xml:space="preserve"> </w:t>
      </w:r>
      <w:r w:rsidR="00271869">
        <w:rPr>
          <w:rFonts w:ascii="Arial" w:hAnsi="Arial" w:cs="Arial"/>
        </w:rPr>
        <w:t>Contractor</w:t>
      </w:r>
      <w:r w:rsidRPr="00A9092D">
        <w:rPr>
          <w:rFonts w:ascii="Arial" w:hAnsi="Arial" w:cs="Arial"/>
        </w:rPr>
        <w:t xml:space="preserve"> will comply with </w:t>
      </w:r>
      <w:r w:rsidR="00073587">
        <w:rPr>
          <w:rFonts w:ascii="Arial" w:hAnsi="Arial" w:cs="Arial"/>
        </w:rPr>
        <w:t>Operations Security (</w:t>
      </w:r>
      <w:r w:rsidRPr="00A9092D">
        <w:rPr>
          <w:rFonts w:ascii="Arial" w:hAnsi="Arial" w:cs="Arial"/>
        </w:rPr>
        <w:t>OPSEC</w:t>
      </w:r>
      <w:r w:rsidR="00073587">
        <w:rPr>
          <w:rFonts w:ascii="Arial" w:hAnsi="Arial" w:cs="Arial"/>
        </w:rPr>
        <w:t>)</w:t>
      </w:r>
      <w:r w:rsidRPr="00A9092D">
        <w:rPr>
          <w:rFonts w:ascii="Arial" w:hAnsi="Arial" w:cs="Arial"/>
        </w:rPr>
        <w:t xml:space="preserve"> requirements contained in the contract</w:t>
      </w:r>
      <w:r w:rsidR="00163427" w:rsidRPr="00A9092D">
        <w:rPr>
          <w:rFonts w:ascii="Arial" w:hAnsi="Arial" w:cs="Arial"/>
        </w:rPr>
        <w:t>, NISPOM (Ref: DoD 5220.2</w:t>
      </w:r>
      <w:r w:rsidR="00A9092D" w:rsidRPr="00A9092D">
        <w:rPr>
          <w:rFonts w:ascii="Arial" w:hAnsi="Arial" w:cs="Arial"/>
        </w:rPr>
        <w:t>2</w:t>
      </w:r>
      <w:r w:rsidR="00163427" w:rsidRPr="00A9092D">
        <w:rPr>
          <w:rFonts w:ascii="Arial" w:hAnsi="Arial" w:cs="Arial"/>
        </w:rPr>
        <w:t>-M), and the Industry Security Regulation (Ref: DoD 5220.22-R, Chapter 10</w:t>
      </w:r>
      <w:r w:rsidR="00A9092D" w:rsidRPr="00A9092D">
        <w:rPr>
          <w:rFonts w:ascii="Arial" w:hAnsi="Arial" w:cs="Arial"/>
        </w:rPr>
        <w:t xml:space="preserve">, </w:t>
      </w:r>
      <w:r w:rsidR="00A9092D" w:rsidRPr="00A9092D">
        <w:rPr>
          <w:rFonts w:ascii="Arial" w:hAnsi="Arial" w:cs="Arial"/>
          <w:i/>
        </w:rPr>
        <w:t>Operations Security (OPSEC)</w:t>
      </w:r>
      <w:r w:rsidR="00163427" w:rsidRPr="00A9092D">
        <w:rPr>
          <w:rFonts w:ascii="Arial" w:hAnsi="Arial" w:cs="Arial"/>
        </w:rPr>
        <w:t xml:space="preserve">).  </w:t>
      </w:r>
      <w:r w:rsidR="00A9092D" w:rsidRPr="00A9092D">
        <w:rPr>
          <w:rFonts w:ascii="Arial" w:hAnsi="Arial" w:cs="Arial"/>
        </w:rPr>
        <w:t xml:space="preserve">Contractual OPSEC requirements above those contained within NISPOM </w:t>
      </w:r>
      <w:r w:rsidR="00A9092D" w:rsidRPr="00A9092D">
        <w:rPr>
          <w:rFonts w:ascii="Arial" w:hAnsi="Arial" w:cs="Arial"/>
          <w:sz w:val="26"/>
          <w:szCs w:val="26"/>
        </w:rPr>
        <w:t xml:space="preserve">shall be included in the appropriate requisition documentation </w:t>
      </w:r>
      <w:r w:rsidR="00F74BFC">
        <w:rPr>
          <w:rFonts w:ascii="Arial" w:hAnsi="Arial" w:cs="Arial"/>
          <w:sz w:val="26"/>
          <w:szCs w:val="26"/>
        </w:rPr>
        <w:t xml:space="preserve">(e.g., Task Order (TO) Request for Proposal) </w:t>
      </w:r>
      <w:r w:rsidR="00A9092D" w:rsidRPr="00A9092D">
        <w:rPr>
          <w:rFonts w:ascii="Arial" w:hAnsi="Arial" w:cs="Arial"/>
          <w:sz w:val="26"/>
          <w:szCs w:val="26"/>
        </w:rPr>
        <w:t xml:space="preserve">and resultant contract addendum </w:t>
      </w:r>
      <w:r w:rsidR="00F74BFC">
        <w:rPr>
          <w:rFonts w:ascii="Arial" w:hAnsi="Arial" w:cs="Arial"/>
          <w:sz w:val="26"/>
          <w:szCs w:val="26"/>
        </w:rPr>
        <w:t xml:space="preserve">(e.g., TO Order </w:t>
      </w:r>
      <w:r w:rsidR="00A9092D" w:rsidRPr="00A9092D">
        <w:rPr>
          <w:rFonts w:ascii="Arial" w:hAnsi="Arial" w:cs="Arial"/>
          <w:sz w:val="26"/>
          <w:szCs w:val="26"/>
        </w:rPr>
        <w:t xml:space="preserve">in sufficient detail to ensure complete </w:t>
      </w:r>
      <w:r w:rsidR="00271869">
        <w:rPr>
          <w:rFonts w:ascii="Arial" w:hAnsi="Arial" w:cs="Arial"/>
          <w:sz w:val="26"/>
          <w:szCs w:val="26"/>
        </w:rPr>
        <w:t>Contractor</w:t>
      </w:r>
      <w:r w:rsidR="00A9092D" w:rsidRPr="00A9092D">
        <w:rPr>
          <w:rFonts w:ascii="Arial" w:hAnsi="Arial" w:cs="Arial"/>
          <w:sz w:val="26"/>
          <w:szCs w:val="26"/>
        </w:rPr>
        <w:t xml:space="preserve"> understanding of exactly what special OPSEC provisions are required</w:t>
      </w:r>
      <w:r w:rsidRPr="00A9092D">
        <w:rPr>
          <w:rFonts w:ascii="Arial" w:hAnsi="Arial" w:cs="Arial"/>
        </w:rPr>
        <w:t>.</w:t>
      </w:r>
      <w:r w:rsidR="00B95F25">
        <w:rPr>
          <w:rFonts w:ascii="Arial" w:hAnsi="Arial" w:cs="Arial"/>
        </w:rPr>
        <w:t xml:space="preserve">  DoD 5220.22-R provided under separate cover.</w:t>
      </w:r>
    </w:p>
    <w:p w14:paraId="0BAB56EB" w14:textId="77777777" w:rsidR="000D0206" w:rsidRDefault="000D0206" w:rsidP="00A9092D">
      <w:pPr>
        <w:autoSpaceDE w:val="0"/>
        <w:autoSpaceDN w:val="0"/>
        <w:adjustRightInd w:val="0"/>
        <w:rPr>
          <w:rFonts w:ascii="Arial" w:hAnsi="Arial" w:cs="Arial"/>
        </w:rPr>
      </w:pPr>
    </w:p>
    <w:p w14:paraId="4732283F" w14:textId="77777777" w:rsidR="000D0206" w:rsidRDefault="000D0206" w:rsidP="00A9092D">
      <w:pPr>
        <w:autoSpaceDE w:val="0"/>
        <w:autoSpaceDN w:val="0"/>
        <w:adjustRightInd w:val="0"/>
        <w:rPr>
          <w:rFonts w:ascii="Arial" w:hAnsi="Arial" w:cs="Arial"/>
        </w:rPr>
      </w:pPr>
      <w:r>
        <w:rPr>
          <w:rFonts w:ascii="Arial" w:hAnsi="Arial" w:cs="Arial"/>
        </w:rPr>
        <w:t>11k</w:t>
      </w:r>
      <w:proofErr w:type="gramStart"/>
      <w:r>
        <w:rPr>
          <w:rFonts w:ascii="Arial" w:hAnsi="Arial" w:cs="Arial"/>
        </w:rPr>
        <w:t>:  Contractor</w:t>
      </w:r>
      <w:proofErr w:type="gramEnd"/>
      <w:r>
        <w:rPr>
          <w:rFonts w:ascii="Arial" w:hAnsi="Arial" w:cs="Arial"/>
        </w:rPr>
        <w:t xml:space="preserve"> authorization to use the Defense Courier Service will be obtained IAW </w:t>
      </w:r>
      <w:r w:rsidRPr="000D0206">
        <w:rPr>
          <w:rFonts w:ascii="Arial" w:hAnsi="Arial" w:cs="Arial"/>
        </w:rPr>
        <w:t>DoD</w:t>
      </w:r>
      <w:r w:rsidR="00D675E5">
        <w:rPr>
          <w:rFonts w:ascii="Arial" w:hAnsi="Arial" w:cs="Arial"/>
        </w:rPr>
        <w:t>I</w:t>
      </w:r>
      <w:r w:rsidRPr="000D0206">
        <w:rPr>
          <w:rFonts w:ascii="Arial" w:hAnsi="Arial" w:cs="Arial"/>
        </w:rPr>
        <w:t xml:space="preserve"> 5200.33, "Defense Courier </w:t>
      </w:r>
      <w:r w:rsidR="00D675E5">
        <w:rPr>
          <w:rFonts w:ascii="Arial" w:hAnsi="Arial" w:cs="Arial"/>
        </w:rPr>
        <w:t>Operations</w:t>
      </w:r>
      <w:r w:rsidRPr="000D0206">
        <w:rPr>
          <w:rFonts w:ascii="Arial" w:hAnsi="Arial" w:cs="Arial"/>
        </w:rPr>
        <w:t>"</w:t>
      </w:r>
      <w:r>
        <w:rPr>
          <w:rFonts w:ascii="Arial" w:hAnsi="Arial" w:cs="Arial"/>
        </w:rPr>
        <w:t xml:space="preserve"> [Current edition: </w:t>
      </w:r>
      <w:r w:rsidRPr="000D0206">
        <w:rPr>
          <w:rFonts w:ascii="Arial" w:hAnsi="Arial" w:cs="Arial"/>
        </w:rPr>
        <w:t>J</w:t>
      </w:r>
      <w:r w:rsidR="00D675E5">
        <w:rPr>
          <w:rFonts w:ascii="Arial" w:hAnsi="Arial" w:cs="Arial"/>
        </w:rPr>
        <w:t>une 30, 2011</w:t>
      </w:r>
      <w:r>
        <w:rPr>
          <w:rFonts w:ascii="Arial" w:hAnsi="Arial" w:cs="Arial"/>
        </w:rPr>
        <w:t xml:space="preserve">].  </w:t>
      </w:r>
      <w:r w:rsidR="00B95F25">
        <w:rPr>
          <w:rFonts w:ascii="Arial" w:hAnsi="Arial" w:cs="Arial"/>
        </w:rPr>
        <w:t>DoD</w:t>
      </w:r>
      <w:r w:rsidR="00D675E5">
        <w:rPr>
          <w:rFonts w:ascii="Arial" w:hAnsi="Arial" w:cs="Arial"/>
        </w:rPr>
        <w:t>I</w:t>
      </w:r>
      <w:r w:rsidR="00B95F25">
        <w:rPr>
          <w:rFonts w:ascii="Arial" w:hAnsi="Arial" w:cs="Arial"/>
        </w:rPr>
        <w:t xml:space="preserve"> 5200.33 pr</w:t>
      </w:r>
      <w:r>
        <w:rPr>
          <w:rFonts w:ascii="Arial" w:hAnsi="Arial" w:cs="Arial"/>
        </w:rPr>
        <w:t>ovided under separate cover.</w:t>
      </w:r>
    </w:p>
    <w:p w14:paraId="6A3EDF89" w14:textId="77777777" w:rsidR="000D0206" w:rsidRPr="000D0206" w:rsidRDefault="000D0206" w:rsidP="00A9092D">
      <w:pPr>
        <w:autoSpaceDE w:val="0"/>
        <w:autoSpaceDN w:val="0"/>
        <w:adjustRightInd w:val="0"/>
        <w:rPr>
          <w:rFonts w:ascii="Arial" w:hAnsi="Arial" w:cs="Arial"/>
        </w:rPr>
      </w:pPr>
    </w:p>
    <w:p w14:paraId="09128522" w14:textId="77777777" w:rsidR="002A7A9D" w:rsidRPr="0035792A" w:rsidRDefault="002A7A9D" w:rsidP="002A7A9D">
      <w:pPr>
        <w:rPr>
          <w:rFonts w:ascii="Arial" w:hAnsi="Arial" w:cs="Arial"/>
        </w:rPr>
      </w:pPr>
      <w:r>
        <w:rPr>
          <w:rFonts w:ascii="Arial" w:hAnsi="Arial" w:cs="Arial"/>
        </w:rPr>
        <w:t>11</w:t>
      </w:r>
      <w:proofErr w:type="gramStart"/>
      <w:r>
        <w:rPr>
          <w:rFonts w:ascii="Arial" w:hAnsi="Arial" w:cs="Arial"/>
        </w:rPr>
        <w:t>l(</w:t>
      </w:r>
      <w:proofErr w:type="gramEnd"/>
      <w:r>
        <w:rPr>
          <w:rFonts w:ascii="Arial" w:hAnsi="Arial" w:cs="Arial"/>
        </w:rPr>
        <w:t>1)</w:t>
      </w:r>
      <w:proofErr w:type="gramStart"/>
      <w:r>
        <w:rPr>
          <w:rFonts w:ascii="Arial" w:hAnsi="Arial" w:cs="Arial"/>
        </w:rPr>
        <w:t xml:space="preserve">:  </w:t>
      </w:r>
      <w:r w:rsidRPr="0035792A">
        <w:rPr>
          <w:rFonts w:ascii="Arial" w:hAnsi="Arial" w:cs="Arial"/>
        </w:rPr>
        <w:t>All</w:t>
      </w:r>
      <w:proofErr w:type="gramEnd"/>
      <w:r w:rsidRPr="0035792A">
        <w:rPr>
          <w:rFonts w:ascii="Arial" w:hAnsi="Arial" w:cs="Arial"/>
        </w:rPr>
        <w:t xml:space="preserve"> </w:t>
      </w:r>
      <w:r w:rsidR="00073587">
        <w:rPr>
          <w:rFonts w:ascii="Arial" w:hAnsi="Arial" w:cs="Arial"/>
        </w:rPr>
        <w:t>V</w:t>
      </w:r>
      <w:r w:rsidRPr="0035792A">
        <w:rPr>
          <w:rFonts w:ascii="Arial" w:hAnsi="Arial" w:cs="Arial"/>
        </w:rPr>
        <w:t xml:space="preserve">isit </w:t>
      </w:r>
      <w:r w:rsidR="00073587">
        <w:rPr>
          <w:rFonts w:ascii="Arial" w:hAnsi="Arial" w:cs="Arial"/>
        </w:rPr>
        <w:t>A</w:t>
      </w:r>
      <w:r w:rsidRPr="0035792A">
        <w:rPr>
          <w:rFonts w:ascii="Arial" w:hAnsi="Arial" w:cs="Arial"/>
        </w:rPr>
        <w:t xml:space="preserve">ccess </w:t>
      </w:r>
      <w:r w:rsidR="00073587">
        <w:rPr>
          <w:rFonts w:ascii="Arial" w:hAnsi="Arial" w:cs="Arial"/>
        </w:rPr>
        <w:t>R</w:t>
      </w:r>
      <w:r w:rsidRPr="0035792A">
        <w:rPr>
          <w:rFonts w:ascii="Arial" w:hAnsi="Arial" w:cs="Arial"/>
        </w:rPr>
        <w:t xml:space="preserve">equests (VARs) by </w:t>
      </w:r>
      <w:r w:rsidR="00271869">
        <w:rPr>
          <w:rFonts w:ascii="Arial" w:hAnsi="Arial" w:cs="Arial"/>
        </w:rPr>
        <w:t>Contractor</w:t>
      </w:r>
      <w:r w:rsidRPr="0035792A">
        <w:rPr>
          <w:rFonts w:ascii="Arial" w:hAnsi="Arial" w:cs="Arial"/>
        </w:rPr>
        <w:t xml:space="preserve">s shall be sent via the Joint Personnel Adjudication System (JPAS) to the DISA VAR Center (JPAS </w:t>
      </w:r>
      <w:proofErr w:type="gramStart"/>
      <w:r w:rsidRPr="0035792A">
        <w:rPr>
          <w:rFonts w:ascii="Arial" w:hAnsi="Arial" w:cs="Arial"/>
        </w:rPr>
        <w:t>SMO:DKABAA</w:t>
      </w:r>
      <w:proofErr w:type="gramEnd"/>
      <w:r w:rsidRPr="0035792A">
        <w:rPr>
          <w:rFonts w:ascii="Arial" w:hAnsi="Arial" w:cs="Arial"/>
        </w:rPr>
        <w:t xml:space="preserve">10) or appropriate </w:t>
      </w:r>
      <w:r w:rsidR="00EA33F8">
        <w:rPr>
          <w:rFonts w:ascii="Arial" w:hAnsi="Arial" w:cs="Arial"/>
        </w:rPr>
        <w:t>Security Management Office (</w:t>
      </w:r>
      <w:r w:rsidRPr="0035792A">
        <w:rPr>
          <w:rFonts w:ascii="Arial" w:hAnsi="Arial" w:cs="Arial"/>
        </w:rPr>
        <w:t>SMO</w:t>
      </w:r>
      <w:r w:rsidR="00EA33F8">
        <w:rPr>
          <w:rFonts w:ascii="Arial" w:hAnsi="Arial" w:cs="Arial"/>
        </w:rPr>
        <w:t>)</w:t>
      </w:r>
      <w:r w:rsidRPr="0035792A">
        <w:rPr>
          <w:rFonts w:ascii="Arial" w:hAnsi="Arial" w:cs="Arial"/>
        </w:rPr>
        <w:t xml:space="preserve"> for the effort.  The COR/TM must </w:t>
      </w:r>
      <w:r w:rsidR="00D568D5">
        <w:rPr>
          <w:rFonts w:ascii="Arial" w:hAnsi="Arial" w:cs="Arial"/>
        </w:rPr>
        <w:t xml:space="preserve">be notified and </w:t>
      </w:r>
      <w:proofErr w:type="gramStart"/>
      <w:r w:rsidRPr="0035792A">
        <w:rPr>
          <w:rFonts w:ascii="Arial" w:hAnsi="Arial" w:cs="Arial"/>
        </w:rPr>
        <w:t>approve</w:t>
      </w:r>
      <w:proofErr w:type="gramEnd"/>
      <w:r w:rsidRPr="0035792A">
        <w:rPr>
          <w:rFonts w:ascii="Arial" w:hAnsi="Arial" w:cs="Arial"/>
        </w:rPr>
        <w:t xml:space="preserve"> the VAR </w:t>
      </w:r>
      <w:r w:rsidR="00D568D5">
        <w:rPr>
          <w:rFonts w:ascii="Arial" w:hAnsi="Arial" w:cs="Arial"/>
        </w:rPr>
        <w:t xml:space="preserve">and need to know certification </w:t>
      </w:r>
      <w:r w:rsidRPr="0035792A">
        <w:rPr>
          <w:rFonts w:ascii="Arial" w:hAnsi="Arial" w:cs="Arial"/>
        </w:rPr>
        <w:t xml:space="preserve">prior to sending the request to the facility being visited.  Contractors must also provide a copy of the VAR to the security manager. </w:t>
      </w:r>
    </w:p>
    <w:p w14:paraId="268A0E38" w14:textId="77777777" w:rsidR="002A7A9D" w:rsidRPr="0035792A" w:rsidRDefault="002A7A9D" w:rsidP="002A7A9D">
      <w:pPr>
        <w:rPr>
          <w:rFonts w:ascii="Arial" w:hAnsi="Arial" w:cs="Arial"/>
        </w:rPr>
      </w:pPr>
    </w:p>
    <w:p w14:paraId="19503BE9" w14:textId="77777777" w:rsidR="000D0206" w:rsidRDefault="000D0206" w:rsidP="00A9092D">
      <w:pPr>
        <w:autoSpaceDE w:val="0"/>
        <w:autoSpaceDN w:val="0"/>
        <w:adjustRightInd w:val="0"/>
        <w:rPr>
          <w:rFonts w:ascii="Arial" w:hAnsi="Arial" w:cs="Arial"/>
        </w:rPr>
      </w:pPr>
      <w:r>
        <w:rPr>
          <w:rFonts w:ascii="Arial" w:hAnsi="Arial" w:cs="Arial"/>
        </w:rPr>
        <w:t>11</w:t>
      </w:r>
      <w:proofErr w:type="gramStart"/>
      <w:r>
        <w:rPr>
          <w:rFonts w:ascii="Arial" w:hAnsi="Arial" w:cs="Arial"/>
        </w:rPr>
        <w:t>l(</w:t>
      </w:r>
      <w:proofErr w:type="gramEnd"/>
      <w:r>
        <w:rPr>
          <w:rFonts w:ascii="Arial" w:hAnsi="Arial" w:cs="Arial"/>
        </w:rPr>
        <w:t xml:space="preserve">2):  The </w:t>
      </w:r>
      <w:r w:rsidR="00271869">
        <w:rPr>
          <w:rFonts w:ascii="Arial" w:hAnsi="Arial" w:cs="Arial"/>
        </w:rPr>
        <w:t>Contractor</w:t>
      </w:r>
      <w:r>
        <w:rPr>
          <w:rFonts w:ascii="Arial" w:hAnsi="Arial" w:cs="Arial"/>
        </w:rPr>
        <w:t xml:space="preserve"> will comply with the Information Assurance </w:t>
      </w:r>
      <w:r w:rsidR="00AF3AD0">
        <w:rPr>
          <w:rFonts w:ascii="Arial" w:hAnsi="Arial" w:cs="Arial"/>
        </w:rPr>
        <w:t xml:space="preserve">(IA) </w:t>
      </w:r>
      <w:r>
        <w:rPr>
          <w:rFonts w:ascii="Arial" w:hAnsi="Arial" w:cs="Arial"/>
        </w:rPr>
        <w:t>requirements contained in the contract.</w:t>
      </w:r>
      <w:r w:rsidR="00AF3AD0">
        <w:rPr>
          <w:rFonts w:ascii="Arial" w:hAnsi="Arial" w:cs="Arial"/>
        </w:rPr>
        <w:t xml:space="preserve">  Minimum IA requirements </w:t>
      </w:r>
      <w:proofErr w:type="gramStart"/>
      <w:r w:rsidR="00AF3AD0">
        <w:rPr>
          <w:rFonts w:ascii="Arial" w:hAnsi="Arial" w:cs="Arial"/>
        </w:rPr>
        <w:t>provided</w:t>
      </w:r>
      <w:proofErr w:type="gramEnd"/>
      <w:r w:rsidR="00AF3AD0">
        <w:rPr>
          <w:rFonts w:ascii="Arial" w:hAnsi="Arial" w:cs="Arial"/>
        </w:rPr>
        <w:t xml:space="preserve"> under separate cover. </w:t>
      </w:r>
    </w:p>
    <w:p w14:paraId="36170AA6" w14:textId="77777777" w:rsidR="00870C34" w:rsidRDefault="00870C34" w:rsidP="00A9092D">
      <w:pPr>
        <w:autoSpaceDE w:val="0"/>
        <w:autoSpaceDN w:val="0"/>
        <w:adjustRightInd w:val="0"/>
        <w:rPr>
          <w:rFonts w:ascii="Arial" w:hAnsi="Arial" w:cs="Arial"/>
        </w:rPr>
      </w:pPr>
    </w:p>
    <w:p w14:paraId="2D005434" w14:textId="77777777" w:rsidR="00870C34" w:rsidRDefault="00870C34" w:rsidP="00A9092D">
      <w:pPr>
        <w:autoSpaceDE w:val="0"/>
        <w:autoSpaceDN w:val="0"/>
        <w:adjustRightInd w:val="0"/>
        <w:rPr>
          <w:rFonts w:ascii="Arial" w:hAnsi="Arial" w:cs="Arial"/>
        </w:rPr>
      </w:pPr>
      <w:r>
        <w:rPr>
          <w:rFonts w:ascii="Arial" w:hAnsi="Arial" w:cs="Arial"/>
        </w:rPr>
        <w:t>11</w:t>
      </w:r>
      <w:proofErr w:type="gramStart"/>
      <w:r>
        <w:rPr>
          <w:rFonts w:ascii="Arial" w:hAnsi="Arial" w:cs="Arial"/>
        </w:rPr>
        <w:t>l(</w:t>
      </w:r>
      <w:proofErr w:type="gramEnd"/>
      <w:r>
        <w:rPr>
          <w:rFonts w:ascii="Arial" w:hAnsi="Arial" w:cs="Arial"/>
        </w:rPr>
        <w:t>3)</w:t>
      </w:r>
      <w:proofErr w:type="gramStart"/>
      <w:r>
        <w:rPr>
          <w:rFonts w:ascii="Arial" w:hAnsi="Arial" w:cs="Arial"/>
        </w:rPr>
        <w:t>:  The</w:t>
      </w:r>
      <w:proofErr w:type="gramEnd"/>
      <w:r>
        <w:rPr>
          <w:rFonts w:ascii="Arial" w:hAnsi="Arial" w:cs="Arial"/>
        </w:rPr>
        <w:t xml:space="preserve"> </w:t>
      </w:r>
      <w:r w:rsidR="00271869">
        <w:rPr>
          <w:rFonts w:ascii="Arial" w:hAnsi="Arial" w:cs="Arial"/>
        </w:rPr>
        <w:t>Contractor</w:t>
      </w:r>
      <w:r>
        <w:rPr>
          <w:rFonts w:ascii="Arial" w:hAnsi="Arial" w:cs="Arial"/>
        </w:rPr>
        <w:t xml:space="preserve"> will include all DD-254 requirements in all subcontracts necessary to </w:t>
      </w:r>
      <w:proofErr w:type="gramStart"/>
      <w:r>
        <w:rPr>
          <w:rFonts w:ascii="Arial" w:hAnsi="Arial" w:cs="Arial"/>
        </w:rPr>
        <w:t>delivery</w:t>
      </w:r>
      <w:proofErr w:type="gramEnd"/>
      <w:r>
        <w:rPr>
          <w:rFonts w:ascii="Arial" w:hAnsi="Arial" w:cs="Arial"/>
        </w:rPr>
        <w:t xml:space="preserve"> COMSATCOM services meeting the requirements </w:t>
      </w:r>
      <w:r w:rsidRPr="00A9092D">
        <w:rPr>
          <w:rFonts w:ascii="Arial" w:hAnsi="Arial" w:cs="Arial"/>
        </w:rPr>
        <w:t>contained in the contract</w:t>
      </w:r>
      <w:r>
        <w:rPr>
          <w:rFonts w:ascii="Arial" w:hAnsi="Arial" w:cs="Arial"/>
        </w:rPr>
        <w:t xml:space="preserve"> and in this DD-254 (e.g., vendor providing satellite bandwidth for a specific Task Order).  Contractor will ensure </w:t>
      </w:r>
      <w:r w:rsidR="00A841DC">
        <w:rPr>
          <w:rFonts w:ascii="Arial" w:hAnsi="Arial" w:cs="Arial"/>
        </w:rPr>
        <w:t>Subcontractor</w:t>
      </w:r>
      <w:r>
        <w:rPr>
          <w:rFonts w:ascii="Arial" w:hAnsi="Arial" w:cs="Arial"/>
        </w:rPr>
        <w:t xml:space="preserve"> compliance </w:t>
      </w:r>
      <w:r w:rsidR="00677E2E">
        <w:rPr>
          <w:rFonts w:ascii="Arial" w:hAnsi="Arial" w:cs="Arial"/>
        </w:rPr>
        <w:t>with all DD-254 requirements.</w:t>
      </w:r>
      <w:r w:rsidR="00AF3AD0">
        <w:rPr>
          <w:rFonts w:ascii="Arial" w:hAnsi="Arial" w:cs="Arial"/>
        </w:rPr>
        <w:t xml:space="preserve">  </w:t>
      </w:r>
    </w:p>
    <w:p w14:paraId="00AB16D3" w14:textId="77777777" w:rsidR="000D0206" w:rsidRDefault="000D0206" w:rsidP="00A9092D">
      <w:pPr>
        <w:autoSpaceDE w:val="0"/>
        <w:autoSpaceDN w:val="0"/>
        <w:adjustRightInd w:val="0"/>
        <w:rPr>
          <w:rFonts w:ascii="Arial" w:hAnsi="Arial" w:cs="Arial"/>
        </w:rPr>
      </w:pPr>
    </w:p>
    <w:p w14:paraId="3E975E84" w14:textId="77777777" w:rsidR="0035792A" w:rsidRDefault="0035792A" w:rsidP="0035792A">
      <w:pPr>
        <w:rPr>
          <w:rFonts w:ascii="Arial" w:hAnsi="Arial" w:cs="Arial"/>
        </w:rPr>
      </w:pPr>
      <w:r w:rsidRPr="0035792A">
        <w:rPr>
          <w:rFonts w:ascii="Arial" w:hAnsi="Arial" w:cs="Arial"/>
          <w:u w:val="single"/>
        </w:rPr>
        <w:t>General Information</w:t>
      </w:r>
      <w:r w:rsidRPr="0035792A">
        <w:rPr>
          <w:rFonts w:ascii="Arial" w:hAnsi="Arial" w:cs="Arial"/>
        </w:rPr>
        <w:t>:</w:t>
      </w:r>
    </w:p>
    <w:p w14:paraId="5011BAD4" w14:textId="77777777" w:rsidR="0035792A" w:rsidRPr="0035792A" w:rsidRDefault="0035792A" w:rsidP="0035792A">
      <w:pPr>
        <w:rPr>
          <w:rFonts w:ascii="Arial" w:hAnsi="Arial" w:cs="Arial"/>
        </w:rPr>
      </w:pPr>
    </w:p>
    <w:p w14:paraId="53394A41" w14:textId="77777777" w:rsidR="0035792A" w:rsidRPr="0035792A" w:rsidRDefault="0035792A" w:rsidP="0035792A">
      <w:pPr>
        <w:rPr>
          <w:rFonts w:ascii="Arial" w:hAnsi="Arial" w:cs="Arial"/>
        </w:rPr>
      </w:pPr>
      <w:r w:rsidRPr="0035792A">
        <w:rPr>
          <w:rFonts w:ascii="Arial" w:hAnsi="Arial" w:cs="Arial"/>
        </w:rPr>
        <w:t xml:space="preserve">The COR/TM must be notified and </w:t>
      </w:r>
      <w:proofErr w:type="gramStart"/>
      <w:r w:rsidRPr="0035792A">
        <w:rPr>
          <w:rFonts w:ascii="Arial" w:hAnsi="Arial" w:cs="Arial"/>
        </w:rPr>
        <w:t>approve</w:t>
      </w:r>
      <w:proofErr w:type="gramEnd"/>
      <w:r w:rsidRPr="0035792A">
        <w:rPr>
          <w:rFonts w:ascii="Arial" w:hAnsi="Arial" w:cs="Arial"/>
        </w:rPr>
        <w:t xml:space="preserve"> the receipt and/or generation of classified information under this contract.</w:t>
      </w:r>
    </w:p>
    <w:p w14:paraId="57E28763" w14:textId="77777777" w:rsidR="0035792A" w:rsidRPr="0035792A" w:rsidRDefault="0035792A" w:rsidP="0035792A">
      <w:pPr>
        <w:rPr>
          <w:rFonts w:ascii="Arial" w:hAnsi="Arial" w:cs="Arial"/>
        </w:rPr>
      </w:pPr>
    </w:p>
    <w:p w14:paraId="2870D0C2" w14:textId="77777777" w:rsidR="007666BE" w:rsidRDefault="0035792A" w:rsidP="0035792A">
      <w:pPr>
        <w:rPr>
          <w:rFonts w:ascii="Arial" w:hAnsi="Arial" w:cs="Arial"/>
        </w:rPr>
      </w:pPr>
      <w:r w:rsidRPr="0035792A">
        <w:rPr>
          <w:rFonts w:ascii="Arial" w:hAnsi="Arial" w:cs="Arial"/>
        </w:rPr>
        <w:t>All classified information received and/or generated under this contract is the property of the U.S. Government regardless of proprietary claims.  Upon completion or termination of this contract, the U.S. Government will be contacted for destruction or disposition instructions.</w:t>
      </w:r>
    </w:p>
    <w:p w14:paraId="0B057C9E" w14:textId="77777777" w:rsidR="000C69B9" w:rsidRDefault="000C69B9" w:rsidP="0035792A">
      <w:pPr>
        <w:rPr>
          <w:rFonts w:ascii="Arial" w:hAnsi="Arial" w:cs="Arial"/>
        </w:rPr>
      </w:pPr>
    </w:p>
    <w:p w14:paraId="6C8A8094" w14:textId="77777777" w:rsidR="000C69B9" w:rsidRPr="00C75335" w:rsidRDefault="000C69B9" w:rsidP="000C69B9">
      <w:pPr>
        <w:jc w:val="center"/>
        <w:rPr>
          <w:rFonts w:ascii="Arial" w:hAnsi="Arial" w:cs="Arial"/>
          <w:szCs w:val="24"/>
        </w:rPr>
      </w:pPr>
      <w:r w:rsidRPr="00551098">
        <w:rPr>
          <w:rFonts w:ascii="Arial" w:hAnsi="Arial" w:cs="Arial"/>
        </w:rPr>
        <w:t xml:space="preserve">(END OF </w:t>
      </w:r>
      <w:r w:rsidR="009443E6">
        <w:rPr>
          <w:rFonts w:ascii="Arial" w:hAnsi="Arial" w:cs="Arial"/>
        </w:rPr>
        <w:t>ATTACHMENT J-15</w:t>
      </w:r>
      <w:r w:rsidRPr="00551098">
        <w:rPr>
          <w:rFonts w:ascii="Arial" w:hAnsi="Arial" w:cs="Arial"/>
        </w:rPr>
        <w:t>)</w:t>
      </w:r>
    </w:p>
    <w:p w14:paraId="18739D09" w14:textId="77777777" w:rsidR="000C69B9" w:rsidRDefault="000C69B9" w:rsidP="000C69B9">
      <w:pPr>
        <w:jc w:val="center"/>
        <w:rPr>
          <w:rFonts w:ascii="Arial" w:hAnsi="Arial" w:cs="Arial"/>
        </w:rPr>
      </w:pPr>
    </w:p>
    <w:sectPr w:rsidR="000C69B9" w:rsidSect="007827A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D4B2F" w14:textId="77777777" w:rsidR="00696BB1" w:rsidRDefault="00696BB1">
      <w:r>
        <w:separator/>
      </w:r>
    </w:p>
  </w:endnote>
  <w:endnote w:type="continuationSeparator" w:id="0">
    <w:p w14:paraId="3EEDA32E" w14:textId="77777777" w:rsidR="00696BB1" w:rsidRDefault="0069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7DF5" w14:textId="77777777" w:rsidR="001F61A4" w:rsidRDefault="001F6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79E0" w14:textId="77777777" w:rsidR="00413156" w:rsidRPr="00271869" w:rsidRDefault="001472DD" w:rsidP="00607972">
    <w:pPr>
      <w:pStyle w:val="Footer"/>
      <w:jc w:val="center"/>
      <w:rPr>
        <w:rFonts w:ascii="Arial" w:hAnsi="Arial" w:cs="Arial"/>
        <w:szCs w:val="24"/>
      </w:rPr>
    </w:pPr>
    <w:r w:rsidRPr="00271869">
      <w:rPr>
        <w:rFonts w:ascii="Arial" w:hAnsi="Arial" w:cs="Arial"/>
        <w:szCs w:val="24"/>
      </w:rPr>
      <w:t>J15-</w:t>
    </w:r>
    <w:r w:rsidR="00946E71" w:rsidRPr="00271869">
      <w:rPr>
        <w:rFonts w:ascii="Arial" w:hAnsi="Arial" w:cs="Arial"/>
        <w:szCs w:val="24"/>
      </w:rPr>
      <w:fldChar w:fldCharType="begin"/>
    </w:r>
    <w:r w:rsidR="00413156" w:rsidRPr="00271869">
      <w:rPr>
        <w:rFonts w:ascii="Arial" w:hAnsi="Arial" w:cs="Arial"/>
        <w:szCs w:val="24"/>
      </w:rPr>
      <w:instrText xml:space="preserve"> PAGE </w:instrText>
    </w:r>
    <w:r w:rsidR="00946E71" w:rsidRPr="00271869">
      <w:rPr>
        <w:rFonts w:ascii="Arial" w:hAnsi="Arial" w:cs="Arial"/>
        <w:szCs w:val="24"/>
      </w:rPr>
      <w:fldChar w:fldCharType="separate"/>
    </w:r>
    <w:r w:rsidR="00506100">
      <w:rPr>
        <w:rFonts w:ascii="Arial" w:hAnsi="Arial" w:cs="Arial"/>
        <w:noProof/>
        <w:szCs w:val="24"/>
      </w:rPr>
      <w:t>1</w:t>
    </w:r>
    <w:r w:rsidR="00946E71" w:rsidRPr="00271869">
      <w:rPr>
        <w:rFonts w:ascii="Arial" w:hAnsi="Arial" w:cs="Arial"/>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DC53" w14:textId="77777777" w:rsidR="001F61A4" w:rsidRDefault="001F6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E391" w14:textId="77777777" w:rsidR="00696BB1" w:rsidRDefault="00696BB1">
      <w:r>
        <w:separator/>
      </w:r>
    </w:p>
  </w:footnote>
  <w:footnote w:type="continuationSeparator" w:id="0">
    <w:p w14:paraId="14CA9ED6" w14:textId="77777777" w:rsidR="00696BB1" w:rsidRDefault="00696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94B6" w14:textId="77777777" w:rsidR="001F61A4" w:rsidRDefault="001F6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0662" w14:textId="7E02CD09" w:rsidR="000C69B9" w:rsidRPr="001F61A4" w:rsidRDefault="00921732" w:rsidP="000C69B9">
    <w:pPr>
      <w:pStyle w:val="Header"/>
      <w:tabs>
        <w:tab w:val="clear" w:pos="8640"/>
        <w:tab w:val="right" w:pos="9960"/>
      </w:tabs>
      <w:jc w:val="right"/>
      <w:rPr>
        <w:rFonts w:ascii="Arial Narrow" w:hAnsi="Arial Narrow"/>
        <w:b/>
        <w:color w:val="505050"/>
        <w:sz w:val="16"/>
        <w:szCs w:val="16"/>
      </w:rPr>
    </w:pPr>
    <w:r>
      <w:rPr>
        <w:rFonts w:ascii="Arial" w:hAnsi="Arial" w:cs="Arial"/>
      </w:rPr>
      <w:tab/>
    </w:r>
    <w:r w:rsidR="001F61A4">
      <w:rPr>
        <w:noProof/>
      </w:rPr>
      <w:drawing>
        <wp:anchor distT="0" distB="0" distL="114300" distR="114300" simplePos="0" relativeHeight="251657728" behindDoc="1" locked="0" layoutInCell="0" allowOverlap="1" wp14:anchorId="4A3B9BC0" wp14:editId="44514CF9">
          <wp:simplePos x="0" y="0"/>
          <wp:positionH relativeFrom="column">
            <wp:posOffset>-365760</wp:posOffset>
          </wp:positionH>
          <wp:positionV relativeFrom="paragraph">
            <wp:posOffset>-88900</wp:posOffset>
          </wp:positionV>
          <wp:extent cx="685800" cy="685800"/>
          <wp:effectExtent l="0" t="0" r="0" b="0"/>
          <wp:wrapThrough wrapText="bothSides">
            <wp:wrapPolygon edited="0">
              <wp:start x="0" y="0"/>
              <wp:lineTo x="0" y="21000"/>
              <wp:lineTo x="21000" y="21000"/>
              <wp:lineTo x="21000" y="0"/>
              <wp:lineTo x="0" y="0"/>
            </wp:wrapPolygon>
          </wp:wrapThrough>
          <wp:docPr id="1"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9B9" w:rsidRPr="001F61A4">
      <w:rPr>
        <w:rFonts w:ascii="Arial Narrow" w:hAnsi="Arial Narrow"/>
        <w:b/>
        <w:color w:val="505050"/>
        <w:sz w:val="16"/>
        <w:szCs w:val="16"/>
      </w:rPr>
      <w:t>U.S. General Services Administration</w:t>
    </w:r>
  </w:p>
  <w:p w14:paraId="31D2C348" w14:textId="77777777" w:rsidR="000C69B9" w:rsidRPr="001F61A4" w:rsidRDefault="000C69B9" w:rsidP="000C69B9">
    <w:pPr>
      <w:pStyle w:val="Header"/>
      <w:jc w:val="right"/>
      <w:rPr>
        <w:rFonts w:ascii="Arial Narrow" w:hAnsi="Arial Narrow"/>
        <w:b/>
        <w:color w:val="505050"/>
        <w:sz w:val="16"/>
        <w:szCs w:val="16"/>
      </w:rPr>
    </w:pPr>
    <w:r w:rsidRPr="001F61A4">
      <w:rPr>
        <w:rFonts w:ascii="Arial Narrow" w:hAnsi="Arial Narrow"/>
        <w:b/>
        <w:color w:val="505050"/>
        <w:sz w:val="16"/>
        <w:szCs w:val="16"/>
      </w:rPr>
      <w:t>Federal Acquisition Service (FAS)</w:t>
    </w:r>
  </w:p>
  <w:p w14:paraId="7D9A6749" w14:textId="77777777" w:rsidR="000C69B9" w:rsidRPr="001F61A4" w:rsidRDefault="000C69B9" w:rsidP="000C69B9">
    <w:pPr>
      <w:pStyle w:val="Header"/>
      <w:jc w:val="right"/>
      <w:rPr>
        <w:rFonts w:ascii="Arial Narrow" w:hAnsi="Arial Narrow"/>
        <w:b/>
        <w:color w:val="505050"/>
        <w:sz w:val="16"/>
        <w:szCs w:val="16"/>
      </w:rPr>
    </w:pPr>
    <w:r w:rsidRPr="001F61A4">
      <w:rPr>
        <w:rFonts w:ascii="Arial Narrow" w:hAnsi="Arial Narrow"/>
        <w:b/>
        <w:color w:val="505050"/>
        <w:sz w:val="16"/>
        <w:szCs w:val="16"/>
      </w:rPr>
      <w:t xml:space="preserve">Office of </w:t>
    </w:r>
    <w:r w:rsidR="00546512" w:rsidRPr="001F61A4">
      <w:rPr>
        <w:rFonts w:ascii="Arial Narrow" w:hAnsi="Arial Narrow"/>
        <w:b/>
        <w:color w:val="505050"/>
        <w:sz w:val="16"/>
        <w:szCs w:val="16"/>
      </w:rPr>
      <w:t>Information</w:t>
    </w:r>
    <w:r w:rsidRPr="001F61A4">
      <w:rPr>
        <w:rFonts w:ascii="Arial Narrow" w:hAnsi="Arial Narrow"/>
        <w:b/>
        <w:color w:val="505050"/>
        <w:sz w:val="16"/>
        <w:szCs w:val="16"/>
      </w:rPr>
      <w:t xml:space="preserve"> Technology </w:t>
    </w:r>
    <w:r w:rsidR="00546512" w:rsidRPr="001F61A4">
      <w:rPr>
        <w:rFonts w:ascii="Arial Narrow" w:hAnsi="Arial Narrow"/>
        <w:b/>
        <w:color w:val="505050"/>
        <w:sz w:val="16"/>
        <w:szCs w:val="16"/>
      </w:rPr>
      <w:t>Category</w:t>
    </w:r>
    <w:r w:rsidRPr="001F61A4">
      <w:rPr>
        <w:rFonts w:ascii="Arial Narrow" w:hAnsi="Arial Narrow"/>
        <w:b/>
        <w:color w:val="505050"/>
        <w:sz w:val="16"/>
        <w:szCs w:val="16"/>
      </w:rPr>
      <w:t xml:space="preserve"> (IT</w:t>
    </w:r>
    <w:r w:rsidR="00546512" w:rsidRPr="001F61A4">
      <w:rPr>
        <w:rFonts w:ascii="Arial Narrow" w:hAnsi="Arial Narrow"/>
        <w:b/>
        <w:color w:val="505050"/>
        <w:sz w:val="16"/>
        <w:szCs w:val="16"/>
      </w:rPr>
      <w:t>C</w:t>
    </w:r>
    <w:r w:rsidRPr="001F61A4">
      <w:rPr>
        <w:rFonts w:ascii="Arial Narrow" w:hAnsi="Arial Narrow"/>
        <w:b/>
        <w:color w:val="505050"/>
        <w:sz w:val="16"/>
        <w:szCs w:val="16"/>
      </w:rPr>
      <w:t>)</w:t>
    </w:r>
  </w:p>
  <w:p w14:paraId="27795C53" w14:textId="77777777" w:rsidR="000C69B9" w:rsidRPr="00AB2628" w:rsidRDefault="000C69B9" w:rsidP="000C69B9">
    <w:pPr>
      <w:jc w:val="right"/>
      <w:rPr>
        <w:rFonts w:ascii="Arial" w:hAnsi="Arial" w:cs="Arial"/>
      </w:rPr>
    </w:pPr>
  </w:p>
  <w:p w14:paraId="75D798EB" w14:textId="77777777" w:rsidR="00921732" w:rsidRPr="00F2001A" w:rsidRDefault="00921732" w:rsidP="00921732">
    <w:pPr>
      <w:pStyle w:val="Header"/>
      <w:jc w:val="right"/>
      <w:rPr>
        <w:rFonts w:ascii="Arial" w:hAnsi="Arial" w:cs="Arial"/>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B393" w14:textId="77777777" w:rsidR="001F61A4" w:rsidRDefault="001F6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59F2"/>
    <w:multiLevelType w:val="hybridMultilevel"/>
    <w:tmpl w:val="45543808"/>
    <w:lvl w:ilvl="0" w:tplc="058AE1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B43FEF"/>
    <w:multiLevelType w:val="hybridMultilevel"/>
    <w:tmpl w:val="54628D52"/>
    <w:lvl w:ilvl="0" w:tplc="F5F8C1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DD54E8"/>
    <w:multiLevelType w:val="hybridMultilevel"/>
    <w:tmpl w:val="F56001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F0534E"/>
    <w:multiLevelType w:val="hybridMultilevel"/>
    <w:tmpl w:val="2B1C5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CF6B25"/>
    <w:multiLevelType w:val="hybridMultilevel"/>
    <w:tmpl w:val="85767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31278313">
    <w:abstractNumId w:val="2"/>
  </w:num>
  <w:num w:numId="2" w16cid:durableId="188183159">
    <w:abstractNumId w:val="1"/>
  </w:num>
  <w:num w:numId="3" w16cid:durableId="13922577">
    <w:abstractNumId w:val="3"/>
  </w:num>
  <w:num w:numId="4" w16cid:durableId="1665469983">
    <w:abstractNumId w:val="4"/>
  </w:num>
  <w:num w:numId="5" w16cid:durableId="174182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A5"/>
    <w:rsid w:val="000021F9"/>
    <w:rsid w:val="00004A66"/>
    <w:rsid w:val="00011074"/>
    <w:rsid w:val="00011DA4"/>
    <w:rsid w:val="00033079"/>
    <w:rsid w:val="00034641"/>
    <w:rsid w:val="000428D2"/>
    <w:rsid w:val="000429FC"/>
    <w:rsid w:val="00053B18"/>
    <w:rsid w:val="0006587E"/>
    <w:rsid w:val="00073587"/>
    <w:rsid w:val="000869C8"/>
    <w:rsid w:val="00087496"/>
    <w:rsid w:val="00093742"/>
    <w:rsid w:val="000A2C9C"/>
    <w:rsid w:val="000A2FB3"/>
    <w:rsid w:val="000B11AA"/>
    <w:rsid w:val="000C1957"/>
    <w:rsid w:val="000C4C6E"/>
    <w:rsid w:val="000C69B9"/>
    <w:rsid w:val="000D0206"/>
    <w:rsid w:val="000D6847"/>
    <w:rsid w:val="000E3C9F"/>
    <w:rsid w:val="000F5D3E"/>
    <w:rsid w:val="001273AE"/>
    <w:rsid w:val="00135ED3"/>
    <w:rsid w:val="001472DD"/>
    <w:rsid w:val="00147D8B"/>
    <w:rsid w:val="001507C8"/>
    <w:rsid w:val="00163427"/>
    <w:rsid w:val="0017241C"/>
    <w:rsid w:val="00174F87"/>
    <w:rsid w:val="001824C5"/>
    <w:rsid w:val="0018338A"/>
    <w:rsid w:val="00183B28"/>
    <w:rsid w:val="0019633D"/>
    <w:rsid w:val="001A09FD"/>
    <w:rsid w:val="001A5239"/>
    <w:rsid w:val="001B5735"/>
    <w:rsid w:val="001C2457"/>
    <w:rsid w:val="001D41CB"/>
    <w:rsid w:val="001D5AFC"/>
    <w:rsid w:val="001E1093"/>
    <w:rsid w:val="001E1C31"/>
    <w:rsid w:val="001E75E4"/>
    <w:rsid w:val="001F29DB"/>
    <w:rsid w:val="001F3C60"/>
    <w:rsid w:val="001F61A4"/>
    <w:rsid w:val="00203DF3"/>
    <w:rsid w:val="00226199"/>
    <w:rsid w:val="002544D4"/>
    <w:rsid w:val="00256F1E"/>
    <w:rsid w:val="00257EC1"/>
    <w:rsid w:val="002609A5"/>
    <w:rsid w:val="002666F7"/>
    <w:rsid w:val="00271869"/>
    <w:rsid w:val="0027579D"/>
    <w:rsid w:val="00276EE6"/>
    <w:rsid w:val="00281A15"/>
    <w:rsid w:val="002847D1"/>
    <w:rsid w:val="0028492B"/>
    <w:rsid w:val="00284AC7"/>
    <w:rsid w:val="00284F79"/>
    <w:rsid w:val="0029720C"/>
    <w:rsid w:val="002A4B8C"/>
    <w:rsid w:val="002A7A9D"/>
    <w:rsid w:val="002B51B5"/>
    <w:rsid w:val="002B629F"/>
    <w:rsid w:val="002C2D5A"/>
    <w:rsid w:val="002C5C10"/>
    <w:rsid w:val="002D05CD"/>
    <w:rsid w:val="002F1119"/>
    <w:rsid w:val="002F15DD"/>
    <w:rsid w:val="002F3BFD"/>
    <w:rsid w:val="003148CA"/>
    <w:rsid w:val="00316A56"/>
    <w:rsid w:val="003249B1"/>
    <w:rsid w:val="00334332"/>
    <w:rsid w:val="00347EE8"/>
    <w:rsid w:val="0035699C"/>
    <w:rsid w:val="0035792A"/>
    <w:rsid w:val="003606B0"/>
    <w:rsid w:val="003630EA"/>
    <w:rsid w:val="003652A4"/>
    <w:rsid w:val="00367AFC"/>
    <w:rsid w:val="003707F9"/>
    <w:rsid w:val="0038171C"/>
    <w:rsid w:val="003854E1"/>
    <w:rsid w:val="00394BD5"/>
    <w:rsid w:val="003B7063"/>
    <w:rsid w:val="003C269D"/>
    <w:rsid w:val="003C72E3"/>
    <w:rsid w:val="003D0123"/>
    <w:rsid w:val="003E2721"/>
    <w:rsid w:val="003E4866"/>
    <w:rsid w:val="003E5C1C"/>
    <w:rsid w:val="003E5D8D"/>
    <w:rsid w:val="003F45A0"/>
    <w:rsid w:val="00413156"/>
    <w:rsid w:val="00443197"/>
    <w:rsid w:val="00456803"/>
    <w:rsid w:val="00490EAC"/>
    <w:rsid w:val="004A140C"/>
    <w:rsid w:val="004B2D65"/>
    <w:rsid w:val="004C27AF"/>
    <w:rsid w:val="004C2816"/>
    <w:rsid w:val="004C6B2A"/>
    <w:rsid w:val="004D66B2"/>
    <w:rsid w:val="004E12A3"/>
    <w:rsid w:val="00506100"/>
    <w:rsid w:val="00514E27"/>
    <w:rsid w:val="005321F0"/>
    <w:rsid w:val="00534A3E"/>
    <w:rsid w:val="00534E84"/>
    <w:rsid w:val="005417F3"/>
    <w:rsid w:val="0054427F"/>
    <w:rsid w:val="00546512"/>
    <w:rsid w:val="00550D8B"/>
    <w:rsid w:val="00551445"/>
    <w:rsid w:val="005648B6"/>
    <w:rsid w:val="00567D65"/>
    <w:rsid w:val="00571000"/>
    <w:rsid w:val="00573C7A"/>
    <w:rsid w:val="00576CF9"/>
    <w:rsid w:val="00580AF5"/>
    <w:rsid w:val="00586A66"/>
    <w:rsid w:val="0059605C"/>
    <w:rsid w:val="005A08F8"/>
    <w:rsid w:val="005C3D77"/>
    <w:rsid w:val="005C3EDB"/>
    <w:rsid w:val="005C5B40"/>
    <w:rsid w:val="005D4522"/>
    <w:rsid w:val="005E4044"/>
    <w:rsid w:val="005E65B7"/>
    <w:rsid w:val="005F7BC5"/>
    <w:rsid w:val="00607972"/>
    <w:rsid w:val="00624717"/>
    <w:rsid w:val="00627E73"/>
    <w:rsid w:val="006519A4"/>
    <w:rsid w:val="00661559"/>
    <w:rsid w:val="0067231F"/>
    <w:rsid w:val="00675B8C"/>
    <w:rsid w:val="00676419"/>
    <w:rsid w:val="00677E2E"/>
    <w:rsid w:val="00683949"/>
    <w:rsid w:val="00690766"/>
    <w:rsid w:val="00692B5F"/>
    <w:rsid w:val="00696BB1"/>
    <w:rsid w:val="006972DC"/>
    <w:rsid w:val="006A2835"/>
    <w:rsid w:val="006A641F"/>
    <w:rsid w:val="006B29E8"/>
    <w:rsid w:val="006B3657"/>
    <w:rsid w:val="006B796D"/>
    <w:rsid w:val="006C0CFD"/>
    <w:rsid w:val="006C6FFE"/>
    <w:rsid w:val="006D2CA7"/>
    <w:rsid w:val="006D3EF0"/>
    <w:rsid w:val="006E2879"/>
    <w:rsid w:val="006E6305"/>
    <w:rsid w:val="006F11BC"/>
    <w:rsid w:val="006F3492"/>
    <w:rsid w:val="00702A08"/>
    <w:rsid w:val="00716C0A"/>
    <w:rsid w:val="00720F85"/>
    <w:rsid w:val="00721729"/>
    <w:rsid w:val="00723A8D"/>
    <w:rsid w:val="00724D1C"/>
    <w:rsid w:val="00730B66"/>
    <w:rsid w:val="00737FAC"/>
    <w:rsid w:val="00747ACD"/>
    <w:rsid w:val="00764D16"/>
    <w:rsid w:val="007666BE"/>
    <w:rsid w:val="007757E0"/>
    <w:rsid w:val="007827AA"/>
    <w:rsid w:val="007A4048"/>
    <w:rsid w:val="007B1996"/>
    <w:rsid w:val="007B21D5"/>
    <w:rsid w:val="007B6240"/>
    <w:rsid w:val="007C2BF4"/>
    <w:rsid w:val="007C5B6F"/>
    <w:rsid w:val="007D3DDC"/>
    <w:rsid w:val="007D4BFC"/>
    <w:rsid w:val="00810018"/>
    <w:rsid w:val="00811145"/>
    <w:rsid w:val="00820A3F"/>
    <w:rsid w:val="00824496"/>
    <w:rsid w:val="008256BC"/>
    <w:rsid w:val="008429F3"/>
    <w:rsid w:val="00855280"/>
    <w:rsid w:val="008578F7"/>
    <w:rsid w:val="00870C34"/>
    <w:rsid w:val="00887DBF"/>
    <w:rsid w:val="0089168F"/>
    <w:rsid w:val="00892487"/>
    <w:rsid w:val="008959FD"/>
    <w:rsid w:val="008A7F99"/>
    <w:rsid w:val="008D2E24"/>
    <w:rsid w:val="008D5779"/>
    <w:rsid w:val="008E0F30"/>
    <w:rsid w:val="008E18C7"/>
    <w:rsid w:val="008E621F"/>
    <w:rsid w:val="008F51EE"/>
    <w:rsid w:val="008F79D6"/>
    <w:rsid w:val="00902D4C"/>
    <w:rsid w:val="00912840"/>
    <w:rsid w:val="009204F6"/>
    <w:rsid w:val="00921732"/>
    <w:rsid w:val="009263D8"/>
    <w:rsid w:val="00940925"/>
    <w:rsid w:val="009443E6"/>
    <w:rsid w:val="00944E1D"/>
    <w:rsid w:val="00945D5A"/>
    <w:rsid w:val="00946E71"/>
    <w:rsid w:val="009514C1"/>
    <w:rsid w:val="0095332D"/>
    <w:rsid w:val="00964BF9"/>
    <w:rsid w:val="00972C98"/>
    <w:rsid w:val="009767DE"/>
    <w:rsid w:val="009776C7"/>
    <w:rsid w:val="009832C8"/>
    <w:rsid w:val="009A7C8F"/>
    <w:rsid w:val="009B37BE"/>
    <w:rsid w:val="009B4265"/>
    <w:rsid w:val="009D752B"/>
    <w:rsid w:val="009E0F67"/>
    <w:rsid w:val="009E2EFD"/>
    <w:rsid w:val="009F76D8"/>
    <w:rsid w:val="00A16630"/>
    <w:rsid w:val="00A22464"/>
    <w:rsid w:val="00A248FA"/>
    <w:rsid w:val="00A27772"/>
    <w:rsid w:val="00A36C42"/>
    <w:rsid w:val="00A413C2"/>
    <w:rsid w:val="00A46AA6"/>
    <w:rsid w:val="00A500AF"/>
    <w:rsid w:val="00A534E1"/>
    <w:rsid w:val="00A60E26"/>
    <w:rsid w:val="00A62A3B"/>
    <w:rsid w:val="00A6553E"/>
    <w:rsid w:val="00A6605A"/>
    <w:rsid w:val="00A749D2"/>
    <w:rsid w:val="00A832A8"/>
    <w:rsid w:val="00A841DC"/>
    <w:rsid w:val="00A9092D"/>
    <w:rsid w:val="00A9284F"/>
    <w:rsid w:val="00A928D0"/>
    <w:rsid w:val="00AB4B99"/>
    <w:rsid w:val="00AC3E13"/>
    <w:rsid w:val="00AE2745"/>
    <w:rsid w:val="00AE3120"/>
    <w:rsid w:val="00AF3AD0"/>
    <w:rsid w:val="00B009AE"/>
    <w:rsid w:val="00B17E49"/>
    <w:rsid w:val="00B416FE"/>
    <w:rsid w:val="00B435C6"/>
    <w:rsid w:val="00B43EC0"/>
    <w:rsid w:val="00B61E37"/>
    <w:rsid w:val="00B63EBF"/>
    <w:rsid w:val="00B7286B"/>
    <w:rsid w:val="00B80450"/>
    <w:rsid w:val="00B80B54"/>
    <w:rsid w:val="00B8365D"/>
    <w:rsid w:val="00B95F25"/>
    <w:rsid w:val="00BC1187"/>
    <w:rsid w:val="00BD3751"/>
    <w:rsid w:val="00BE1174"/>
    <w:rsid w:val="00BF198D"/>
    <w:rsid w:val="00C058FC"/>
    <w:rsid w:val="00C06C4F"/>
    <w:rsid w:val="00C105B2"/>
    <w:rsid w:val="00C2287C"/>
    <w:rsid w:val="00C2545C"/>
    <w:rsid w:val="00C32423"/>
    <w:rsid w:val="00C41420"/>
    <w:rsid w:val="00C42383"/>
    <w:rsid w:val="00C43C6E"/>
    <w:rsid w:val="00C51520"/>
    <w:rsid w:val="00C53541"/>
    <w:rsid w:val="00C62A18"/>
    <w:rsid w:val="00C812D7"/>
    <w:rsid w:val="00C83338"/>
    <w:rsid w:val="00C922DB"/>
    <w:rsid w:val="00C95733"/>
    <w:rsid w:val="00C9643C"/>
    <w:rsid w:val="00CA6186"/>
    <w:rsid w:val="00CB0D90"/>
    <w:rsid w:val="00CC1068"/>
    <w:rsid w:val="00CC322B"/>
    <w:rsid w:val="00CC6F74"/>
    <w:rsid w:val="00CC763C"/>
    <w:rsid w:val="00CE0953"/>
    <w:rsid w:val="00CE23A7"/>
    <w:rsid w:val="00CE32EA"/>
    <w:rsid w:val="00CF0852"/>
    <w:rsid w:val="00CF5118"/>
    <w:rsid w:val="00D00869"/>
    <w:rsid w:val="00D0526E"/>
    <w:rsid w:val="00D22BC1"/>
    <w:rsid w:val="00D25AEB"/>
    <w:rsid w:val="00D30115"/>
    <w:rsid w:val="00D32E74"/>
    <w:rsid w:val="00D3500B"/>
    <w:rsid w:val="00D363FB"/>
    <w:rsid w:val="00D40884"/>
    <w:rsid w:val="00D45953"/>
    <w:rsid w:val="00D54191"/>
    <w:rsid w:val="00D568D5"/>
    <w:rsid w:val="00D6070E"/>
    <w:rsid w:val="00D675E5"/>
    <w:rsid w:val="00D83355"/>
    <w:rsid w:val="00D9036A"/>
    <w:rsid w:val="00DA6E3F"/>
    <w:rsid w:val="00DB23D6"/>
    <w:rsid w:val="00DB2EF1"/>
    <w:rsid w:val="00DC05F5"/>
    <w:rsid w:val="00DC0B88"/>
    <w:rsid w:val="00DC45B1"/>
    <w:rsid w:val="00DC6D42"/>
    <w:rsid w:val="00DD2CED"/>
    <w:rsid w:val="00DD3AE3"/>
    <w:rsid w:val="00DE3F60"/>
    <w:rsid w:val="00DF1636"/>
    <w:rsid w:val="00E06CD3"/>
    <w:rsid w:val="00E1280B"/>
    <w:rsid w:val="00E1616E"/>
    <w:rsid w:val="00E232B4"/>
    <w:rsid w:val="00E257D1"/>
    <w:rsid w:val="00E26756"/>
    <w:rsid w:val="00E32028"/>
    <w:rsid w:val="00E34688"/>
    <w:rsid w:val="00E3697B"/>
    <w:rsid w:val="00E51C26"/>
    <w:rsid w:val="00E6651D"/>
    <w:rsid w:val="00E744F8"/>
    <w:rsid w:val="00E90E37"/>
    <w:rsid w:val="00E936CD"/>
    <w:rsid w:val="00EA33F8"/>
    <w:rsid w:val="00EA3C48"/>
    <w:rsid w:val="00EA46B1"/>
    <w:rsid w:val="00EA5A29"/>
    <w:rsid w:val="00EA741B"/>
    <w:rsid w:val="00EB162B"/>
    <w:rsid w:val="00EB5125"/>
    <w:rsid w:val="00EE0655"/>
    <w:rsid w:val="00EF0297"/>
    <w:rsid w:val="00EF7400"/>
    <w:rsid w:val="00F0489D"/>
    <w:rsid w:val="00F10B13"/>
    <w:rsid w:val="00F1191E"/>
    <w:rsid w:val="00F14936"/>
    <w:rsid w:val="00F15E3B"/>
    <w:rsid w:val="00F21084"/>
    <w:rsid w:val="00F250BC"/>
    <w:rsid w:val="00F272C0"/>
    <w:rsid w:val="00F30039"/>
    <w:rsid w:val="00F32C6C"/>
    <w:rsid w:val="00F455E2"/>
    <w:rsid w:val="00F56183"/>
    <w:rsid w:val="00F702EF"/>
    <w:rsid w:val="00F74BFC"/>
    <w:rsid w:val="00F93369"/>
    <w:rsid w:val="00F93D3E"/>
    <w:rsid w:val="00F9491D"/>
    <w:rsid w:val="00FA2858"/>
    <w:rsid w:val="00FA5285"/>
    <w:rsid w:val="00FB4BD1"/>
    <w:rsid w:val="00FD2E9B"/>
    <w:rsid w:val="00FD4642"/>
    <w:rsid w:val="00FE2504"/>
    <w:rsid w:val="00FE6D06"/>
    <w:rsid w:val="00FE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9A422"/>
  <w15:chartTrackingRefBased/>
  <w15:docId w15:val="{0F4D7CCA-62C9-428A-B6B3-FC75992F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
    <w:qFormat/>
    <w:rsid w:val="007827AA"/>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609A5"/>
    <w:rPr>
      <w:b/>
      <w:bCs/>
    </w:rPr>
  </w:style>
  <w:style w:type="paragraph" w:styleId="NormalWeb">
    <w:name w:val="Normal (Web)"/>
    <w:basedOn w:val="Normal"/>
    <w:rsid w:val="007666BE"/>
    <w:rPr>
      <w:rFonts w:ascii="Times New Roman" w:hAnsi="Times New Roman"/>
      <w:szCs w:val="24"/>
    </w:rPr>
  </w:style>
  <w:style w:type="paragraph" w:styleId="Header">
    <w:name w:val="header"/>
    <w:aliases w:val="Header-Even,B&amp;D Header,Header 1"/>
    <w:basedOn w:val="Normal"/>
    <w:rsid w:val="00607972"/>
    <w:pPr>
      <w:tabs>
        <w:tab w:val="center" w:pos="4320"/>
        <w:tab w:val="right" w:pos="8640"/>
      </w:tabs>
    </w:pPr>
  </w:style>
  <w:style w:type="paragraph" w:styleId="Footer">
    <w:name w:val="footer"/>
    <w:basedOn w:val="Normal"/>
    <w:rsid w:val="00607972"/>
    <w:pPr>
      <w:tabs>
        <w:tab w:val="center" w:pos="4320"/>
        <w:tab w:val="right" w:pos="8640"/>
      </w:tabs>
    </w:pPr>
  </w:style>
  <w:style w:type="character" w:styleId="CommentReference">
    <w:name w:val="annotation reference"/>
    <w:semiHidden/>
    <w:rsid w:val="00E3697B"/>
    <w:rPr>
      <w:sz w:val="16"/>
      <w:szCs w:val="16"/>
    </w:rPr>
  </w:style>
  <w:style w:type="paragraph" w:styleId="CommentText">
    <w:name w:val="annotation text"/>
    <w:basedOn w:val="Normal"/>
    <w:semiHidden/>
    <w:rsid w:val="00E3697B"/>
    <w:rPr>
      <w:sz w:val="20"/>
    </w:rPr>
  </w:style>
  <w:style w:type="paragraph" w:styleId="CommentSubject">
    <w:name w:val="annotation subject"/>
    <w:basedOn w:val="CommentText"/>
    <w:next w:val="CommentText"/>
    <w:semiHidden/>
    <w:rsid w:val="00E3697B"/>
    <w:rPr>
      <w:b/>
      <w:bCs/>
    </w:rPr>
  </w:style>
  <w:style w:type="paragraph" w:styleId="BalloonText">
    <w:name w:val="Balloon Text"/>
    <w:basedOn w:val="Normal"/>
    <w:semiHidden/>
    <w:rsid w:val="00E3697B"/>
    <w:rPr>
      <w:rFonts w:ascii="Tahoma" w:hAnsi="Tahoma" w:cs="Tahoma"/>
      <w:sz w:val="16"/>
      <w:szCs w:val="16"/>
    </w:rPr>
  </w:style>
  <w:style w:type="paragraph" w:styleId="Revision">
    <w:name w:val="Revision"/>
    <w:hidden/>
    <w:uiPriority w:val="99"/>
    <w:semiHidden/>
    <w:rsid w:val="00CB0D90"/>
    <w:rPr>
      <w:rFonts w:ascii="Book Antiqua" w:hAnsi="Book Antiqua"/>
      <w:sz w:val="24"/>
    </w:rPr>
  </w:style>
  <w:style w:type="paragraph" w:styleId="ListParagraph">
    <w:name w:val="List Paragraph"/>
    <w:basedOn w:val="Normal"/>
    <w:uiPriority w:val="34"/>
    <w:qFormat/>
    <w:rsid w:val="00944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42968">
      <w:bodyDiv w:val="1"/>
      <w:marLeft w:val="0"/>
      <w:marRight w:val="0"/>
      <w:marTop w:val="0"/>
      <w:marBottom w:val="0"/>
      <w:divBdr>
        <w:top w:val="none" w:sz="0" w:space="0" w:color="auto"/>
        <w:left w:val="none" w:sz="0" w:space="0" w:color="auto"/>
        <w:bottom w:val="none" w:sz="0" w:space="0" w:color="auto"/>
        <w:right w:val="none" w:sz="0" w:space="0" w:color="auto"/>
      </w:divBdr>
      <w:divsChild>
        <w:div w:id="8796213">
          <w:marLeft w:val="0"/>
          <w:marRight w:val="0"/>
          <w:marTop w:val="0"/>
          <w:marBottom w:val="0"/>
          <w:divBdr>
            <w:top w:val="none" w:sz="0" w:space="0" w:color="auto"/>
            <w:left w:val="none" w:sz="0" w:space="0" w:color="auto"/>
            <w:bottom w:val="none" w:sz="0" w:space="0" w:color="auto"/>
            <w:right w:val="none" w:sz="0" w:space="0" w:color="auto"/>
          </w:divBdr>
        </w:div>
        <w:div w:id="171337346">
          <w:marLeft w:val="0"/>
          <w:marRight w:val="0"/>
          <w:marTop w:val="0"/>
          <w:marBottom w:val="0"/>
          <w:divBdr>
            <w:top w:val="none" w:sz="0" w:space="0" w:color="auto"/>
            <w:left w:val="none" w:sz="0" w:space="0" w:color="auto"/>
            <w:bottom w:val="none" w:sz="0" w:space="0" w:color="auto"/>
            <w:right w:val="none" w:sz="0" w:space="0" w:color="auto"/>
          </w:divBdr>
        </w:div>
        <w:div w:id="174224119">
          <w:marLeft w:val="0"/>
          <w:marRight w:val="0"/>
          <w:marTop w:val="0"/>
          <w:marBottom w:val="0"/>
          <w:divBdr>
            <w:top w:val="none" w:sz="0" w:space="0" w:color="auto"/>
            <w:left w:val="none" w:sz="0" w:space="0" w:color="auto"/>
            <w:bottom w:val="none" w:sz="0" w:space="0" w:color="auto"/>
            <w:right w:val="none" w:sz="0" w:space="0" w:color="auto"/>
          </w:divBdr>
        </w:div>
        <w:div w:id="199588925">
          <w:marLeft w:val="0"/>
          <w:marRight w:val="0"/>
          <w:marTop w:val="0"/>
          <w:marBottom w:val="0"/>
          <w:divBdr>
            <w:top w:val="none" w:sz="0" w:space="0" w:color="auto"/>
            <w:left w:val="none" w:sz="0" w:space="0" w:color="auto"/>
            <w:bottom w:val="none" w:sz="0" w:space="0" w:color="auto"/>
            <w:right w:val="none" w:sz="0" w:space="0" w:color="auto"/>
          </w:divBdr>
        </w:div>
        <w:div w:id="383602811">
          <w:marLeft w:val="0"/>
          <w:marRight w:val="0"/>
          <w:marTop w:val="0"/>
          <w:marBottom w:val="0"/>
          <w:divBdr>
            <w:top w:val="none" w:sz="0" w:space="0" w:color="auto"/>
            <w:left w:val="none" w:sz="0" w:space="0" w:color="auto"/>
            <w:bottom w:val="none" w:sz="0" w:space="0" w:color="auto"/>
            <w:right w:val="none" w:sz="0" w:space="0" w:color="auto"/>
          </w:divBdr>
        </w:div>
        <w:div w:id="397366563">
          <w:marLeft w:val="0"/>
          <w:marRight w:val="0"/>
          <w:marTop w:val="0"/>
          <w:marBottom w:val="0"/>
          <w:divBdr>
            <w:top w:val="none" w:sz="0" w:space="0" w:color="auto"/>
            <w:left w:val="none" w:sz="0" w:space="0" w:color="auto"/>
            <w:bottom w:val="none" w:sz="0" w:space="0" w:color="auto"/>
            <w:right w:val="none" w:sz="0" w:space="0" w:color="auto"/>
          </w:divBdr>
        </w:div>
        <w:div w:id="468473262">
          <w:marLeft w:val="0"/>
          <w:marRight w:val="0"/>
          <w:marTop w:val="0"/>
          <w:marBottom w:val="0"/>
          <w:divBdr>
            <w:top w:val="none" w:sz="0" w:space="0" w:color="auto"/>
            <w:left w:val="none" w:sz="0" w:space="0" w:color="auto"/>
            <w:bottom w:val="none" w:sz="0" w:space="0" w:color="auto"/>
            <w:right w:val="none" w:sz="0" w:space="0" w:color="auto"/>
          </w:divBdr>
        </w:div>
        <w:div w:id="476609027">
          <w:marLeft w:val="0"/>
          <w:marRight w:val="0"/>
          <w:marTop w:val="0"/>
          <w:marBottom w:val="0"/>
          <w:divBdr>
            <w:top w:val="none" w:sz="0" w:space="0" w:color="auto"/>
            <w:left w:val="none" w:sz="0" w:space="0" w:color="auto"/>
            <w:bottom w:val="none" w:sz="0" w:space="0" w:color="auto"/>
            <w:right w:val="none" w:sz="0" w:space="0" w:color="auto"/>
          </w:divBdr>
        </w:div>
        <w:div w:id="488520028">
          <w:marLeft w:val="0"/>
          <w:marRight w:val="0"/>
          <w:marTop w:val="0"/>
          <w:marBottom w:val="0"/>
          <w:divBdr>
            <w:top w:val="none" w:sz="0" w:space="0" w:color="auto"/>
            <w:left w:val="none" w:sz="0" w:space="0" w:color="auto"/>
            <w:bottom w:val="none" w:sz="0" w:space="0" w:color="auto"/>
            <w:right w:val="none" w:sz="0" w:space="0" w:color="auto"/>
          </w:divBdr>
        </w:div>
        <w:div w:id="577398753">
          <w:marLeft w:val="0"/>
          <w:marRight w:val="0"/>
          <w:marTop w:val="0"/>
          <w:marBottom w:val="0"/>
          <w:divBdr>
            <w:top w:val="none" w:sz="0" w:space="0" w:color="auto"/>
            <w:left w:val="none" w:sz="0" w:space="0" w:color="auto"/>
            <w:bottom w:val="none" w:sz="0" w:space="0" w:color="auto"/>
            <w:right w:val="none" w:sz="0" w:space="0" w:color="auto"/>
          </w:divBdr>
        </w:div>
        <w:div w:id="628242588">
          <w:marLeft w:val="0"/>
          <w:marRight w:val="0"/>
          <w:marTop w:val="0"/>
          <w:marBottom w:val="0"/>
          <w:divBdr>
            <w:top w:val="none" w:sz="0" w:space="0" w:color="auto"/>
            <w:left w:val="none" w:sz="0" w:space="0" w:color="auto"/>
            <w:bottom w:val="none" w:sz="0" w:space="0" w:color="auto"/>
            <w:right w:val="none" w:sz="0" w:space="0" w:color="auto"/>
          </w:divBdr>
        </w:div>
        <w:div w:id="831413133">
          <w:marLeft w:val="0"/>
          <w:marRight w:val="0"/>
          <w:marTop w:val="0"/>
          <w:marBottom w:val="0"/>
          <w:divBdr>
            <w:top w:val="none" w:sz="0" w:space="0" w:color="auto"/>
            <w:left w:val="none" w:sz="0" w:space="0" w:color="auto"/>
            <w:bottom w:val="none" w:sz="0" w:space="0" w:color="auto"/>
            <w:right w:val="none" w:sz="0" w:space="0" w:color="auto"/>
          </w:divBdr>
        </w:div>
        <w:div w:id="1004698356">
          <w:marLeft w:val="0"/>
          <w:marRight w:val="0"/>
          <w:marTop w:val="0"/>
          <w:marBottom w:val="0"/>
          <w:divBdr>
            <w:top w:val="none" w:sz="0" w:space="0" w:color="auto"/>
            <w:left w:val="none" w:sz="0" w:space="0" w:color="auto"/>
            <w:bottom w:val="none" w:sz="0" w:space="0" w:color="auto"/>
            <w:right w:val="none" w:sz="0" w:space="0" w:color="auto"/>
          </w:divBdr>
        </w:div>
        <w:div w:id="1190147834">
          <w:marLeft w:val="0"/>
          <w:marRight w:val="0"/>
          <w:marTop w:val="0"/>
          <w:marBottom w:val="0"/>
          <w:divBdr>
            <w:top w:val="none" w:sz="0" w:space="0" w:color="auto"/>
            <w:left w:val="none" w:sz="0" w:space="0" w:color="auto"/>
            <w:bottom w:val="none" w:sz="0" w:space="0" w:color="auto"/>
            <w:right w:val="none" w:sz="0" w:space="0" w:color="auto"/>
          </w:divBdr>
        </w:div>
        <w:div w:id="1304627763">
          <w:marLeft w:val="0"/>
          <w:marRight w:val="0"/>
          <w:marTop w:val="0"/>
          <w:marBottom w:val="0"/>
          <w:divBdr>
            <w:top w:val="none" w:sz="0" w:space="0" w:color="auto"/>
            <w:left w:val="none" w:sz="0" w:space="0" w:color="auto"/>
            <w:bottom w:val="none" w:sz="0" w:space="0" w:color="auto"/>
            <w:right w:val="none" w:sz="0" w:space="0" w:color="auto"/>
          </w:divBdr>
        </w:div>
        <w:div w:id="1325208409">
          <w:marLeft w:val="0"/>
          <w:marRight w:val="0"/>
          <w:marTop w:val="0"/>
          <w:marBottom w:val="0"/>
          <w:divBdr>
            <w:top w:val="none" w:sz="0" w:space="0" w:color="auto"/>
            <w:left w:val="none" w:sz="0" w:space="0" w:color="auto"/>
            <w:bottom w:val="none" w:sz="0" w:space="0" w:color="auto"/>
            <w:right w:val="none" w:sz="0" w:space="0" w:color="auto"/>
          </w:divBdr>
        </w:div>
        <w:div w:id="1338120110">
          <w:marLeft w:val="0"/>
          <w:marRight w:val="0"/>
          <w:marTop w:val="0"/>
          <w:marBottom w:val="0"/>
          <w:divBdr>
            <w:top w:val="none" w:sz="0" w:space="0" w:color="auto"/>
            <w:left w:val="none" w:sz="0" w:space="0" w:color="auto"/>
            <w:bottom w:val="none" w:sz="0" w:space="0" w:color="auto"/>
            <w:right w:val="none" w:sz="0" w:space="0" w:color="auto"/>
          </w:divBdr>
        </w:div>
        <w:div w:id="1339499261">
          <w:marLeft w:val="0"/>
          <w:marRight w:val="0"/>
          <w:marTop w:val="0"/>
          <w:marBottom w:val="0"/>
          <w:divBdr>
            <w:top w:val="none" w:sz="0" w:space="0" w:color="auto"/>
            <w:left w:val="none" w:sz="0" w:space="0" w:color="auto"/>
            <w:bottom w:val="none" w:sz="0" w:space="0" w:color="auto"/>
            <w:right w:val="none" w:sz="0" w:space="0" w:color="auto"/>
          </w:divBdr>
        </w:div>
        <w:div w:id="1428842809">
          <w:marLeft w:val="0"/>
          <w:marRight w:val="0"/>
          <w:marTop w:val="0"/>
          <w:marBottom w:val="0"/>
          <w:divBdr>
            <w:top w:val="none" w:sz="0" w:space="0" w:color="auto"/>
            <w:left w:val="none" w:sz="0" w:space="0" w:color="auto"/>
            <w:bottom w:val="none" w:sz="0" w:space="0" w:color="auto"/>
            <w:right w:val="none" w:sz="0" w:space="0" w:color="auto"/>
          </w:divBdr>
        </w:div>
        <w:div w:id="1449350208">
          <w:marLeft w:val="0"/>
          <w:marRight w:val="0"/>
          <w:marTop w:val="0"/>
          <w:marBottom w:val="0"/>
          <w:divBdr>
            <w:top w:val="none" w:sz="0" w:space="0" w:color="auto"/>
            <w:left w:val="none" w:sz="0" w:space="0" w:color="auto"/>
            <w:bottom w:val="none" w:sz="0" w:space="0" w:color="auto"/>
            <w:right w:val="none" w:sz="0" w:space="0" w:color="auto"/>
          </w:divBdr>
        </w:div>
        <w:div w:id="1450902965">
          <w:marLeft w:val="0"/>
          <w:marRight w:val="0"/>
          <w:marTop w:val="0"/>
          <w:marBottom w:val="0"/>
          <w:divBdr>
            <w:top w:val="none" w:sz="0" w:space="0" w:color="auto"/>
            <w:left w:val="none" w:sz="0" w:space="0" w:color="auto"/>
            <w:bottom w:val="none" w:sz="0" w:space="0" w:color="auto"/>
            <w:right w:val="none" w:sz="0" w:space="0" w:color="auto"/>
          </w:divBdr>
        </w:div>
        <w:div w:id="1490706261">
          <w:marLeft w:val="0"/>
          <w:marRight w:val="0"/>
          <w:marTop w:val="0"/>
          <w:marBottom w:val="0"/>
          <w:divBdr>
            <w:top w:val="none" w:sz="0" w:space="0" w:color="auto"/>
            <w:left w:val="none" w:sz="0" w:space="0" w:color="auto"/>
            <w:bottom w:val="none" w:sz="0" w:space="0" w:color="auto"/>
            <w:right w:val="none" w:sz="0" w:space="0" w:color="auto"/>
          </w:divBdr>
        </w:div>
        <w:div w:id="1545679193">
          <w:marLeft w:val="0"/>
          <w:marRight w:val="0"/>
          <w:marTop w:val="0"/>
          <w:marBottom w:val="0"/>
          <w:divBdr>
            <w:top w:val="none" w:sz="0" w:space="0" w:color="auto"/>
            <w:left w:val="none" w:sz="0" w:space="0" w:color="auto"/>
            <w:bottom w:val="none" w:sz="0" w:space="0" w:color="auto"/>
            <w:right w:val="none" w:sz="0" w:space="0" w:color="auto"/>
          </w:divBdr>
        </w:div>
        <w:div w:id="1599829720">
          <w:marLeft w:val="0"/>
          <w:marRight w:val="0"/>
          <w:marTop w:val="0"/>
          <w:marBottom w:val="0"/>
          <w:divBdr>
            <w:top w:val="none" w:sz="0" w:space="0" w:color="auto"/>
            <w:left w:val="none" w:sz="0" w:space="0" w:color="auto"/>
            <w:bottom w:val="none" w:sz="0" w:space="0" w:color="auto"/>
            <w:right w:val="none" w:sz="0" w:space="0" w:color="auto"/>
          </w:divBdr>
        </w:div>
        <w:div w:id="1619023982">
          <w:marLeft w:val="0"/>
          <w:marRight w:val="0"/>
          <w:marTop w:val="0"/>
          <w:marBottom w:val="0"/>
          <w:divBdr>
            <w:top w:val="none" w:sz="0" w:space="0" w:color="auto"/>
            <w:left w:val="none" w:sz="0" w:space="0" w:color="auto"/>
            <w:bottom w:val="none" w:sz="0" w:space="0" w:color="auto"/>
            <w:right w:val="none" w:sz="0" w:space="0" w:color="auto"/>
          </w:divBdr>
        </w:div>
        <w:div w:id="1701931247">
          <w:marLeft w:val="0"/>
          <w:marRight w:val="0"/>
          <w:marTop w:val="0"/>
          <w:marBottom w:val="0"/>
          <w:divBdr>
            <w:top w:val="none" w:sz="0" w:space="0" w:color="auto"/>
            <w:left w:val="none" w:sz="0" w:space="0" w:color="auto"/>
            <w:bottom w:val="none" w:sz="0" w:space="0" w:color="auto"/>
            <w:right w:val="none" w:sz="0" w:space="0" w:color="auto"/>
          </w:divBdr>
        </w:div>
        <w:div w:id="1714109876">
          <w:marLeft w:val="0"/>
          <w:marRight w:val="0"/>
          <w:marTop w:val="0"/>
          <w:marBottom w:val="0"/>
          <w:divBdr>
            <w:top w:val="none" w:sz="0" w:space="0" w:color="auto"/>
            <w:left w:val="none" w:sz="0" w:space="0" w:color="auto"/>
            <w:bottom w:val="none" w:sz="0" w:space="0" w:color="auto"/>
            <w:right w:val="none" w:sz="0" w:space="0" w:color="auto"/>
          </w:divBdr>
        </w:div>
        <w:div w:id="1934124676">
          <w:marLeft w:val="0"/>
          <w:marRight w:val="0"/>
          <w:marTop w:val="0"/>
          <w:marBottom w:val="0"/>
          <w:divBdr>
            <w:top w:val="none" w:sz="0" w:space="0" w:color="auto"/>
            <w:left w:val="none" w:sz="0" w:space="0" w:color="auto"/>
            <w:bottom w:val="none" w:sz="0" w:space="0" w:color="auto"/>
            <w:right w:val="none" w:sz="0" w:space="0" w:color="auto"/>
          </w:divBdr>
        </w:div>
        <w:div w:id="1942104413">
          <w:marLeft w:val="0"/>
          <w:marRight w:val="0"/>
          <w:marTop w:val="0"/>
          <w:marBottom w:val="0"/>
          <w:divBdr>
            <w:top w:val="none" w:sz="0" w:space="0" w:color="auto"/>
            <w:left w:val="none" w:sz="0" w:space="0" w:color="auto"/>
            <w:bottom w:val="none" w:sz="0" w:space="0" w:color="auto"/>
            <w:right w:val="none" w:sz="0" w:space="0" w:color="auto"/>
          </w:divBdr>
        </w:div>
        <w:div w:id="1969240111">
          <w:marLeft w:val="0"/>
          <w:marRight w:val="0"/>
          <w:marTop w:val="0"/>
          <w:marBottom w:val="0"/>
          <w:divBdr>
            <w:top w:val="none" w:sz="0" w:space="0" w:color="auto"/>
            <w:left w:val="none" w:sz="0" w:space="0" w:color="auto"/>
            <w:bottom w:val="none" w:sz="0" w:space="0" w:color="auto"/>
            <w:right w:val="none" w:sz="0" w:space="0" w:color="auto"/>
          </w:divBdr>
        </w:div>
        <w:div w:id="2066753001">
          <w:marLeft w:val="0"/>
          <w:marRight w:val="0"/>
          <w:marTop w:val="0"/>
          <w:marBottom w:val="0"/>
          <w:divBdr>
            <w:top w:val="none" w:sz="0" w:space="0" w:color="auto"/>
            <w:left w:val="none" w:sz="0" w:space="0" w:color="auto"/>
            <w:bottom w:val="none" w:sz="0" w:space="0" w:color="auto"/>
            <w:right w:val="none" w:sz="0" w:space="0" w:color="auto"/>
          </w:divBdr>
        </w:div>
        <w:div w:id="2089645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Addendum to DD-254 for TAT 08-04</vt:lpstr>
    </vt:vector>
  </TitlesOfParts>
  <Company>Booz Allen Hamilton</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DD-254 for TAT 08-04</dc:title>
  <dc:subject/>
  <dc:creator>Brian Orr</dc:creator>
  <cp:keywords/>
  <cp:lastModifiedBy>AmandaCDean</cp:lastModifiedBy>
  <cp:revision>2</cp:revision>
  <cp:lastPrinted>2012-12-12T01:33:00Z</cp:lastPrinted>
  <dcterms:created xsi:type="dcterms:W3CDTF">2026-04-03T12:36:00Z</dcterms:created>
  <dcterms:modified xsi:type="dcterms:W3CDTF">2026-04-03T12:36:00Z</dcterms:modified>
</cp:coreProperties>
</file>